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Quality assurance verification document</w:t>
      </w:r>
    </w:p>
    <w:p>
      <w:pPr>
        <w:spacing w:before="400"/>
      </w:pPr>
      <w:r>
        <w:rPr>
          <w:rFonts w:ascii="Calibri" w:hAnsi="Calibri"/>
          <w:color w:val="4B5563"/>
          <w:sz w:val="20"/>
        </w:rPr>
        <w:t>Prepared for QA Chunk 7 regression testing  ·  N/A  ·  20 May 2026 · 06:11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test artefact to verify that the committee pack enhancement pipeline correctly handles minimal input cases. The source contains only metadata describing its testing purpose, with no substantive audit committee content, financial data, risk assessments, or governance matters to report. No recommendations or actions are generated from this null-content scenario.</w:t>
      </w:r>
    </w:p>
    <w:p>
      <w:r>
        <w:br w:type="page"/>
      </w:r>
    </w:p>
    <w:p>
      <w:pPr>
        <w:spacing w:before="400" w:after="120"/>
      </w:pPr>
      <w:r>
        <w:rPr>
          <w:rFonts w:ascii="Calibri" w:hAnsi="Calibri"/>
          <w:b/>
          <w:color w:val="0A1F44"/>
          <w:sz w:val="40"/>
        </w:rPr>
        <w:t>Index</w:t>
      </w:r>
    </w:p>
    <w:p>
      <w:r>
        <w:rPr>
          <w:rFonts w:ascii="Calibri" w:hAnsi="Calibri"/>
          <w:color w:val="111827"/>
          <w:sz w:val="22"/>
        </w:rPr>
        <w:t>01.  Source Document Status</w:t>
      </w:r>
    </w:p>
    <w:p>
      <w:r>
        <w:rPr>
          <w:rFonts w:ascii="Calibri" w:hAnsi="Calibri"/>
          <w:color w:val="111827"/>
          <w:sz w:val="22"/>
        </w:rPr>
        <w:t>02.  Enhancement Pipeline Test</w:t>
      </w:r>
    </w:p>
    <w:p>
      <w:r>
        <w:br w:type="page"/>
      </w:r>
    </w:p>
    <w:p>
      <w:pPr>
        <w:spacing w:before="400" w:after="120"/>
      </w:pPr>
      <w:r>
        <w:rPr>
          <w:rFonts w:ascii="Calibri" w:hAnsi="Calibri"/>
          <w:b/>
          <w:color w:val="0A1F44"/>
          <w:sz w:val="40"/>
        </w:rPr>
        <w:t>Source Document Status</w:t>
      </w:r>
    </w:p>
    <w:p>
      <w:pPr>
        <w:spacing w:after="120"/>
      </w:pPr>
      <w:r>
        <w:rPr>
          <w:rFonts w:ascii="Georgia" w:hAnsi="Georgia"/>
          <w:i/>
          <w:color w:val="4B5563"/>
          <w:sz w:val="22"/>
        </w:rPr>
        <w:t>Content verification</w:t>
      </w:r>
    </w:p>
    <w:p>
      <w:pPr>
        <w:spacing w:after="120"/>
      </w:pPr>
      <w:r>
        <w:rPr>
          <w:rFonts w:ascii="Georgia" w:hAnsi="Georgia"/>
          <w:i w:val="0"/>
          <w:color w:val="111827"/>
          <w:sz w:val="22"/>
        </w:rPr>
        <w:t>The provided source artefact contains exclusively metadata identifying itself as a quality assurance test document.</w:t>
      </w:r>
    </w:p>
    <w:p>
      <w:pPr>
        <w:spacing w:after="120"/>
      </w:pPr>
      <w:r>
        <w:rPr>
          <w:rFonts w:ascii="Georgia" w:hAnsi="Georgia"/>
          <w:i w:val="0"/>
          <w:color w:val="111827"/>
          <w:sz w:val="22"/>
        </w:rPr>
        <w:t>No financial statements, risk registers, compliance updates, internal control assessments, or other substantive audit committee materials are present in the truncated 16,000-character limit. [1]</w:t>
      </w:r>
    </w:p>
    <w:p/>
    <w:p>
      <w:pPr>
        <w:spacing w:before="400" w:after="120"/>
      </w:pPr>
      <w:r>
        <w:rPr>
          <w:rFonts w:ascii="Calibri" w:hAnsi="Calibri"/>
          <w:b/>
          <w:color w:val="0A1F44"/>
          <w:sz w:val="40"/>
        </w:rPr>
        <w:t>Enhancement Pipeline Test</w:t>
      </w:r>
    </w:p>
    <w:p>
      <w:pPr>
        <w:spacing w:after="120"/>
      </w:pPr>
      <w:r>
        <w:rPr>
          <w:rFonts w:ascii="Georgia" w:hAnsi="Georgia"/>
          <w:i/>
          <w:color w:val="4B5563"/>
          <w:sz w:val="22"/>
        </w:rPr>
        <w:t>committee_pack artifact type handling</w:t>
      </w:r>
    </w:p>
    <w:p>
      <w:pPr>
        <w:spacing w:after="120"/>
      </w:pPr>
      <w:r>
        <w:rPr>
          <w:rFonts w:ascii="Georgia" w:hAnsi="Georgia"/>
          <w:i w:val="0"/>
          <w:color w:val="111827"/>
          <w:sz w:val="22"/>
        </w:rPr>
        <w:t>This regression test verifies that committee pack documents are recognized as a first-class enhancement type within the AKKI system.</w:t>
      </w:r>
    </w:p>
    <w:p>
      <w:pPr>
        <w:spacing w:after="120"/>
      </w:pPr>
      <w:r>
        <w:rPr>
          <w:rFonts w:ascii="Georgia" w:hAnsi="Georgia"/>
          <w:i w:val="0"/>
          <w:color w:val="111827"/>
          <w:sz w:val="22"/>
        </w:rPr>
        <w:t>The test confirms appropriate handling of edge cases where source documents lack actionable content for committee review.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