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2"/>
                <w:szCs w:val="52"/>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4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7"/>
                <w:szCs w:val="17"/>
              </w:rPr>
              <w:t xml:space="preserve">AUDIT COMMITTEE REPORT — Q1 2025</w:t>
            </w:r>
          </w:p>
          <w:p>
            <w:pPr>
              <w:spacing w:before="40"/>
              <w:jc w:val="right"/>
            </w:pPr>
            <w:r>
              <w:rPr>
                <w:rFonts w:ascii="Calibri" w:cs="Calibri" w:eastAsia="Calibri" w:hAnsi="Calibri"/>
                <w:color w:val="7B8FA6"/>
                <w:sz w:val="16"/>
                <w:szCs w:val="16"/>
              </w:rPr>
              <w:t xml:space="preserve">Q1 2025  |  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Nadia Kamau</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Role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Chair, Audit Committee  |  Independent Non-Executive Director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2025 2025  |  January – March 2025</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Date</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28 March 2025</w:t>
            </w:r>
          </w:p>
        </w:tc>
      </w:tr>
    </w:tbl>
    <w:p>
      <w:pPr>
        <w:spacing w:after="200" w:before="0"/>
      </w:pPr>
    </w:p>
    <w:p>
      <w:pPr>
        <w:pStyle w:val="Heading1"/>
        <w:spacing w:after="140" w:before="400"/>
      </w:pPr>
      <w:r>
        <w:rPr>
          <w:rFonts w:ascii="Calibri" w:cs="Calibri" w:eastAsia="Calibri" w:hAnsi="Calibri"/>
          <w:b/>
          <w:bCs/>
          <w:color w:val="0D1B2A"/>
          <w:sz w:val="30"/>
          <w:szCs w:val="30"/>
        </w:rPr>
        <w:t xml:space="preserve">1.  Purpose &amp; Scope</w:t>
      </w:r>
    </w:p>
    <w:p>
      <w:pPr>
        <w:spacing w:after="120" w:before="80"/>
        <w:jc w:val="both"/>
      </w:pPr>
      <w:r>
        <w:rPr>
          <w:rFonts w:ascii="Calibri" w:cs="Calibri" w:eastAsia="Calibri" w:hAnsi="Calibri"/>
          <w:b w:val="false"/>
          <w:bCs w:val="false"/>
          <w:color w:val="1A1A2E"/>
          <w:sz w:val="22"/>
          <w:szCs w:val="22"/>
        </w:rPr>
        <w:t xml:space="preserve">This report is submitted by the Audit Committee of Lemasy Limited to the Board of Directors in respect of Q1 2025. The Audit Committee met on 20 March 2025. It comprises two independent NEDs (Ms. Kamau as Chair and Mr. Okonkwo) plus an investor board observer (Convergence Capital — non-voting). The Group CFO, Company Secretary, and external auditors (PwC Kenya) attended in an advisory capacity.</w:t>
      </w:r>
    </w:p>
    <w:p>
      <w:pPr>
        <w:spacing w:after="120" w:before="80"/>
        <w:jc w:val="both"/>
      </w:pPr>
      <w:r>
        <w:rPr>
          <w:rFonts w:ascii="Calibri" w:cs="Calibri" w:eastAsia="Calibri" w:hAnsi="Calibri"/>
          <w:b w:val="false"/>
          <w:bCs w:val="false"/>
          <w:color w:val="1A1A2E"/>
          <w:sz w:val="22"/>
          <w:szCs w:val="22"/>
        </w:rPr>
        <w:t xml:space="preserve">Scope: financial controls review; external audit status; internal review programme; CapEx governance; ESOP accounting treatment; and compliance with IFRS reporting standards.</w:t>
      </w:r>
    </w:p>
    <w:p>
      <w:pPr>
        <w:spacing w:after="140" w:before="0"/>
      </w:pPr>
    </w:p>
    <w:p>
      <w:pPr>
        <w:pStyle w:val="Heading1"/>
        <w:spacing w:after="140" w:before="400"/>
      </w:pPr>
      <w:r>
        <w:rPr>
          <w:rFonts w:ascii="Calibri" w:cs="Calibri" w:eastAsia="Calibri" w:hAnsi="Calibri"/>
          <w:b/>
          <w:bCs/>
          <w:color w:val="0D1B2A"/>
          <w:sz w:val="30"/>
          <w:szCs w:val="30"/>
        </w:rPr>
        <w:t xml:space="preserve">2.  Audit Committee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Member / Metric</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Detail</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Requirement</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Committee Chair</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Ms. Nadia Kamau — Independent NED</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Mandatory</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In situ</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Committee Member</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Mr. Chidi Okonkwo — Independent NED</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Mandatory</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In situ</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Board Observer (non-voting)</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Convergence Capital Representative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Investor right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Attended</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Quorum</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2 of 2 members</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Mandatory</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Met</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Q1 Meeting Date</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20 March 2025</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Quarterly</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Held</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External Auditors (PwC Kenya)</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Attended Q1 meeting</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Annual engagement</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Attended</w:t>
            </w:r>
          </w:p>
        </w:tc>
      </w:tr>
    </w:tbl>
    <w:p>
      <w:pPr>
        <w:spacing w:after="140" w:before="0"/>
      </w:pPr>
    </w:p>
    <w:p>
      <w:pPr>
        <w:pStyle w:val="Heading1"/>
        <w:spacing w:after="140" w:before="400"/>
      </w:pPr>
      <w:r>
        <w:rPr>
          <w:rFonts w:ascii="Calibri" w:cs="Calibri" w:eastAsia="Calibri" w:hAnsi="Calibri"/>
          <w:b/>
          <w:bCs/>
          <w:color w:val="0D1B2A"/>
          <w:sz w:val="30"/>
          <w:szCs w:val="30"/>
        </w:rPr>
        <w:t xml:space="preserve">3.  Internal Control &amp; Finance Review</w:t>
      </w:r>
    </w:p>
    <w:p>
      <w:pPr>
        <w:pStyle w:val="Heading2"/>
        <w:spacing w:after="100" w:before="280"/>
      </w:pPr>
      <w:r>
        <w:rPr>
          <w:rFonts w:ascii="Calibri" w:cs="Calibri" w:eastAsia="Calibri" w:hAnsi="Calibri"/>
          <w:b/>
          <w:bCs/>
          <w:color w:val="1E3A5F"/>
          <w:sz w:val="24"/>
          <w:szCs w:val="24"/>
        </w:rPr>
        <w:t xml:space="preserve">3.1  Q1 2025 Internal Review Findings</w:t>
      </w:r>
    </w:p>
    <w:p>
      <w:pPr>
        <w:spacing w:after="120" w:before="80"/>
        <w:jc w:val="both"/>
      </w:pPr>
      <w:r>
        <w:rPr>
          <w:rFonts w:ascii="Calibri" w:cs="Calibri" w:eastAsia="Calibri" w:hAnsi="Calibri"/>
          <w:b w:val="false"/>
          <w:bCs w:val="false"/>
          <w:color w:val="1A1A2E"/>
          <w:sz w:val="22"/>
          <w:szCs w:val="22"/>
        </w:rPr>
        <w:t xml:space="preserve">Lemasy does not yet have a dedicated internal audit function. At this stage of the company's development, the Audit Committee conducts quarterly control reviews using the CFO and an independent finance consultant (Apex Advisory). Q1 2025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5040"/>
        <w:gridCol w:w="1800"/>
        <w:gridCol w:w="1446"/>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50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Description / Finding</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144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F-01</w:t>
            </w:r>
          </w:p>
        </w:tc>
        <w:tc>
          <w:tcPr>
            <w:tcW w:type="dxa" w:w="50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Revenue Recognition: One professional services project (Safaricom — USD 320K) recognised in Q1 despite a deliverable milestone not formally signed off by the client. Revenue deferred by USD 96,000 pending acceptance. IFRS 15 compliance concern.</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 / Delivery Lead</w:t>
            </w:r>
          </w:p>
        </w:tc>
        <w:tc>
          <w:tcPr>
            <w:tcW w:type="dxa" w:w="144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Resolved — Revenue Deferred</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F-02</w:t>
            </w:r>
          </w:p>
        </w:tc>
        <w:tc>
          <w:tcPr>
            <w:tcW w:type="dxa" w:w="50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South Africa Revenue: ZAR-denominated billings for Q1 not translated using the correct average rate — USD 4,200 misstatement identified and corrected.</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144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Resolved — Corrected</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F-03</w:t>
            </w:r>
          </w:p>
        </w:tc>
        <w:tc>
          <w:tcPr>
            <w:tcW w:type="dxa" w:w="50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Expense Claims: Three expense claims above the USD 500 board-approved limit approved by the CFO without dual sign-off. Policy refreshed.</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144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D7A55"/>
                <w:sz w:val="20"/>
                <w:szCs w:val="20"/>
              </w:rPr>
              <w:t xml:space="preserve">Resolved</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F-04</w:t>
            </w:r>
          </w:p>
        </w:tc>
        <w:tc>
          <w:tcPr>
            <w:tcW w:type="dxa" w:w="50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Accounting: Share-based payment expense (IFRS 2) not accrued in Q1 management accounts. Adjustment of USD 28,000 per quarter required. Ongoing.</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144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In Progress — Q2</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F-05</w:t>
            </w:r>
          </w:p>
        </w:tc>
        <w:tc>
          <w:tcPr>
            <w:tcW w:type="dxa" w:w="50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Contractor Agreements: 4 of 11 contractors delivering billable work in South Africa operating without signed service agreements. Risk of misclassification as employees under SA labour law.</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c>
          <w:tcPr>
            <w:tcW w:type="dxa" w:w="144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D4891A"/>
                <w:sz w:val="20"/>
                <w:szCs w:val="20"/>
              </w:rPr>
              <w:t xml:space="preserve">In Progress — April</w:t>
            </w:r>
          </w:p>
        </w:tc>
      </w:tr>
    </w:tbl>
    <w:p>
      <w:pPr>
        <w:spacing w:after="100" w:before="0"/>
      </w:pPr>
    </w:p>
    <w:p>
      <w:pPr>
        <w:spacing w:after="120" w:before="80"/>
        <w:jc w:val="both"/>
      </w:pPr>
      <w:r>
        <w:rPr>
          <w:rFonts w:ascii="Calibri" w:cs="Calibri" w:eastAsia="Calibri" w:hAnsi="Calibri"/>
          <w:b w:val="false"/>
          <w:bCs w:val="false"/>
          <w:color w:val="1A1A2E"/>
          <w:sz w:val="22"/>
          <w:szCs w:val="22"/>
        </w:rPr>
        <w:t xml:space="preserve">F-01 is the most significant finding. Revenue recognition on professional services engagements must follow IFRS 15 milestone acceptance protocols rigorously. The CFO has been directed to implement a formal sign-off workflow for all project milestones before revenue is recognised.</w:t>
      </w:r>
    </w:p>
    <w:p>
      <w:pPr>
        <w:spacing w:after="140" w:before="0"/>
      </w:pPr>
    </w:p>
    <w:p>
      <w:pPr>
        <w:pStyle w:val="Heading1"/>
        <w:spacing w:after="140" w:before="400"/>
      </w:pPr>
      <w:r>
        <w:rPr>
          <w:rFonts w:ascii="Calibri" w:cs="Calibri" w:eastAsia="Calibri" w:hAnsi="Calibri"/>
          <w:b/>
          <w:bCs/>
          <w:color w:val="0D1B2A"/>
          <w:sz w:val="30"/>
          <w:szCs w:val="30"/>
        </w:rPr>
        <w:t xml:space="preserve">4.  External Audit — PwC Kenya</w:t>
      </w:r>
    </w:p>
    <w:p>
      <w:pPr>
        <w:pStyle w:val="Heading2"/>
        <w:spacing w:after="100" w:before="280"/>
      </w:pPr>
      <w:r>
        <w:rPr>
          <w:rFonts w:ascii="Calibri" w:cs="Calibri" w:eastAsia="Calibri" w:hAnsi="Calibri"/>
          <w:b/>
          <w:bCs/>
          <w:color w:val="1E3A5F"/>
          <w:sz w:val="24"/>
          <w:szCs w:val="24"/>
        </w:rPr>
        <w:t xml:space="preserve">4.1  FY 2024 Audit Status</w:t>
      </w:r>
    </w:p>
    <w:p>
      <w:pPr>
        <w:spacing w:after="120" w:before="80"/>
        <w:jc w:val="both"/>
      </w:pPr>
      <w:r>
        <w:rPr>
          <w:rFonts w:ascii="Calibri" w:cs="Calibri" w:eastAsia="Calibri" w:hAnsi="Calibri"/>
          <w:b w:val="false"/>
          <w:bCs w:val="false"/>
          <w:color w:val="1A1A2E"/>
          <w:sz w:val="22"/>
          <w:szCs w:val="22"/>
        </w:rPr>
        <w:t xml:space="preserve">PwC Kenya issued an unqualified audit opinion on the FY 2024 financial statements on 28 February 2025. This was Lemasy's first audited financial year as a company of this scale and the clean opinion is noted by the Audit Committee with satisfaction. No adjustments were required.</w:t>
      </w:r>
    </w:p>
    <w:p>
      <w:pPr>
        <w:spacing w:after="120" w:before="80"/>
        <w:jc w:val="both"/>
      </w:pPr>
      <w:r>
        <w:rPr>
          <w:rFonts w:ascii="Calibri" w:cs="Calibri" w:eastAsia="Calibri" w:hAnsi="Calibri"/>
          <w:b w:val="false"/>
          <w:bCs w:val="false"/>
          <w:color w:val="1A1A2E"/>
          <w:sz w:val="22"/>
          <w:szCs w:val="22"/>
        </w:rPr>
        <w:t xml:space="preserve">One management letter point was issued: PwC recommended that Lemasy implement a formal documented revenue recognition policy document under IFRS 15, given the increasing complexity of multi-deliverable contracts. Management accepted and is implementing this in Q2 2025.</w:t>
      </w:r>
    </w:p>
    <w:p>
      <w:pPr>
        <w:spacing w:after="80" w:before="0"/>
      </w:pPr>
    </w:p>
    <w:p>
      <w:pPr>
        <w:pStyle w:val="Heading2"/>
        <w:spacing w:after="100" w:before="280"/>
      </w:pPr>
      <w:r>
        <w:rPr>
          <w:rFonts w:ascii="Calibri" w:cs="Calibri" w:eastAsia="Calibri" w:hAnsi="Calibri"/>
          <w:b/>
          <w:bCs/>
          <w:color w:val="1E3A5F"/>
          <w:sz w:val="24"/>
          <w:szCs w:val="24"/>
        </w:rPr>
        <w:t xml:space="preserve">4.2  FY 2025 Audit Engagement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PwC Kenya engagement letter signed February 2025. Audit fieldwork scheduled October 2025.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Key FY 2025 audit focus areas: revenue recognition (IFRS 15), ESOP accounting (IFRS 2), SA entity intercompany transactions, and going concern assessment.</w:t>
      </w:r>
    </w:p>
    <w:p>
      <w:pPr>
        <w:spacing w:after="140" w:before="0"/>
      </w:pPr>
    </w:p>
    <w:p>
      <w:pPr>
        <w:pStyle w:val="Heading1"/>
        <w:spacing w:after="140" w:before="400"/>
      </w:pPr>
      <w:r>
        <w:rPr>
          <w:rFonts w:ascii="Calibri" w:cs="Calibri" w:eastAsia="Calibri" w:hAnsi="Calibri"/>
          <w:b/>
          <w:bCs/>
          <w:color w:val="0D1B2A"/>
          <w:sz w:val="30"/>
          <w:szCs w:val="30"/>
        </w:rPr>
        <w:t xml:space="preserve">5.  ESOP Accounting — Board Note</w:t>
      </w:r>
    </w:p>
    <w:p>
      <w:pPr>
        <w:spacing w:after="120" w:before="80"/>
        <w:jc w:val="both"/>
      </w:pPr>
      <w:r>
        <w:rPr>
          <w:rFonts w:ascii="Calibri" w:cs="Calibri" w:eastAsia="Calibri" w:hAnsi="Calibri"/>
          <w:b w:val="false"/>
          <w:bCs w:val="false"/>
          <w:color w:val="1A1A2E"/>
          <w:sz w:val="22"/>
          <w:szCs w:val="22"/>
        </w:rPr>
        <w:t xml:space="preserve">The current ESOP pool of 8% (fully diluted) has a share-based payment charge under IFRS 2 of approximately USD 28,000 per quarter, which had not been accrued in Q1 management accounts. This will be corrected from Q2 2025.</w:t>
      </w:r>
    </w:p>
    <w:p>
      <w:pPr>
        <w:spacing w:after="120" w:before="80"/>
        <w:jc w:val="both"/>
      </w:pPr>
      <w:r>
        <w:rPr>
          <w:rFonts w:ascii="Calibri" w:cs="Calibri" w:eastAsia="Calibri" w:hAnsi="Calibri"/>
          <w:b w:val="false"/>
          <w:bCs w:val="false"/>
          <w:color w:val="1A1A2E"/>
          <w:sz w:val="22"/>
          <w:szCs w:val="22"/>
        </w:rPr>
        <w:t xml:space="preserve">If the board approves a 4% ESOP top-up at the Q1 board meeting, the additional IFRS 2 charge will be approximately USD 44,000 per quarter (based on the current valuation), bringing total quarterly ESOP charge to approximately USD 72,000. The CFO will restate the Q2 budget to reflect this. The Audit Committee notes the ESOP top-up is appropriate from a talent retention perspective and has no financial reporting objection.</w:t>
      </w:r>
    </w:p>
    <w:p>
      <w:pPr>
        <w:spacing w:after="140" w:before="0"/>
      </w:pPr>
    </w:p>
    <w:p>
      <w:pPr>
        <w:pStyle w:val="Heading1"/>
        <w:spacing w:after="140" w:before="400"/>
      </w:pPr>
      <w:r>
        <w:rPr>
          <w:rFonts w:ascii="Calibri" w:cs="Calibri" w:eastAsia="Calibri" w:hAnsi="Calibri"/>
          <w:b/>
          <w:bCs/>
          <w:color w:val="0D1B2A"/>
          <w:sz w:val="30"/>
          <w:szCs w:val="30"/>
        </w:rPr>
        <w:t xml:space="preserve">6.  CapEx Governance — Q1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926"/>
      </w:tblGrid>
      <w:tr>
        <w:tc>
          <w:tcPr>
            <w:tcW w:type="dxa" w:w="35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CapEx Category</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Q1 Spend</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Budget / Benchmark</w:t>
            </w:r>
          </w:p>
        </w:tc>
        <w:tc>
          <w:tcPr>
            <w:tcW w:type="dxa" w:w="19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Status</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CapEx Spend — Q1 2025</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120,000</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150,000 budget</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 Underspend — timing</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Cloud Infrastructure Investment</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72,000</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Ongoing</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Laptop &amp; Hardware (New Hires)</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31,000</w:t>
            </w:r>
          </w:p>
        </w:tc>
        <w:tc>
          <w:tcPr>
            <w:tcW w:type="dxa" w:w="1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1,800 per new hire</w:t>
            </w:r>
          </w:p>
        </w:tc>
        <w:tc>
          <w:tcPr>
            <w:tcW w:type="dxa" w:w="19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r>
        <w:tc>
          <w:tcPr>
            <w:tcW w:type="dxa" w:w="35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Software Licences &amp; Tooling</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USD 17,000</w:t>
            </w:r>
          </w:p>
        </w:tc>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Annual renewals</w:t>
            </w:r>
          </w:p>
        </w:tc>
        <w:tc>
          <w:tcPr>
            <w:tcW w:type="dxa" w:w="19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On Track</w:t>
            </w:r>
          </w:p>
        </w:tc>
      </w:tr>
    </w:tbl>
    <w:p>
      <w:pPr>
        <w:spacing w:after="80" w:before="0"/>
      </w:pPr>
    </w:p>
    <w:p>
      <w:pPr>
        <w:spacing w:after="120" w:before="80"/>
        <w:jc w:val="both"/>
      </w:pPr>
      <w:r>
        <w:rPr>
          <w:rFonts w:ascii="Calibri" w:cs="Calibri" w:eastAsia="Calibri" w:hAnsi="Calibri"/>
          <w:b w:val="false"/>
          <w:bCs w:val="false"/>
          <w:color w:val="1A1A2E"/>
          <w:sz w:val="22"/>
          <w:szCs w:val="22"/>
        </w:rPr>
        <w:t xml:space="preserve">All Q1 CapEx is within the CFO's delegated authority limit of USD 50,000 per item. No board CapEx approvals were required in Q1. The ISO 27001 certification investment (USD 35,000) planned for Q2 falls within the CFO's authority.</w:t>
      </w:r>
    </w:p>
    <w:p>
      <w:pPr>
        <w:spacing w:after="140" w:before="0"/>
      </w:pPr>
    </w:p>
    <w:p>
      <w:pPr>
        <w:pStyle w:val="Heading1"/>
        <w:spacing w:after="140" w:before="400"/>
      </w:pPr>
      <w:r>
        <w:rPr>
          <w:rFonts w:ascii="Calibri" w:cs="Calibri" w:eastAsia="Calibri" w:hAnsi="Calibri"/>
          <w:b/>
          <w:bCs/>
          <w:color w:val="0D1B2A"/>
          <w:sz w:val="30"/>
          <w:szCs w:val="30"/>
        </w:rPr>
        <w:t xml:space="preserve">7.  Board Action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AC-01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IFRS 15 Revenue Policy: CFO to produce and circulate documented revenue recognition policy under IFRS 15 for Audit Committee review</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AC-02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 Contractor Agreements: CEO / Legal to ensure all 11 South Africa contractors have signed service agreements</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 / Legal</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30 April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AC-03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IFRS 2 Accrual: CFO to include IFRS 2 ESOP charge in all management accounts from Q2 2025</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Management Accounts</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AC-04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Internal Audit Function: Audit Committee to consider appointing a part-time internal auditor or extending Apex Advisory mandate</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Audit Committee Chair</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Q2 Board — Jun 2025</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val="false"/>
          <w:bCs w:val="false"/>
          <w:color w:val="7B8FA6"/>
          <w:sz w:val="18"/>
          <w:szCs w:val="18"/>
        </w:rPr>
        <w:t xml:space="preserve">This report has been prepared for the exclusive use of the Board of Directors of Lemasy Limited. The information herein includes proprietary commercial data, client information, and strategic plans. Any reproduction or disclosure to any third party without prior written consent of the CEO is strictly prohibited.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Audit Committee Report</w:t>
    </w:r>
    <w:r>
      <w:rPr>
        <w:rFonts w:ascii="Calibri" w:cs="Calibri" w:eastAsia="Calibri" w:hAnsi="Calibri"/>
        <w:sz w:val="17"/>
        <w:szCs w:val="17"/>
      </w:rPr>
      <w:t xml:space="preserve">	</w:t>
    </w:r>
    <w:r>
      <w:rPr>
        <w:rFonts w:ascii="Calibri" w:cs="Calibri" w:eastAsia="Calibri" w:hAnsi="Calibri"/>
        <w:color w:val="7B8FA6"/>
        <w:sz w:val="17"/>
        <w:szCs w:val="17"/>
      </w:rPr>
      <w:t xml:space="preserve">Q1 2025  |  January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E3A5F"/>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2026-05-01T08:34:32.429Z</dcterms:created>
  <dcterms:modified xsi:type="dcterms:W3CDTF">2026-05-01T08:34:32.432Z</dcterms:modified>
</cp:coreProperties>
</file>

<file path=docProps/custom.xml><?xml version="1.0" encoding="utf-8"?>
<Properties xmlns="http://schemas.openxmlformats.org/officeDocument/2006/custom-properties" xmlns:vt="http://schemas.openxmlformats.org/officeDocument/2006/docPropsVTypes"/>
</file>