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RISK &amp; COMPLIANCE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Chidi Okonkwo  &amp;  Ms. Amara Osei-Bonsu</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Chair, Risk Committee  |  Chief Executive Officer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Risk Overview</w:t>
      </w:r>
    </w:p>
    <w:p>
      <w:pPr>
        <w:spacing w:after="120" w:before="80"/>
        <w:jc w:val="both"/>
      </w:pPr>
      <w:r>
        <w:rPr>
          <w:rFonts w:ascii="Calibri" w:cs="Calibri" w:eastAsia="Calibri" w:hAnsi="Calibri"/>
          <w:b w:val="false"/>
          <w:bCs w:val="false"/>
          <w:color w:val="1A1A2E"/>
          <w:sz w:val="22"/>
          <w:szCs w:val="22"/>
        </w:rPr>
        <w:t xml:space="preserve">The Risk Committee met on 18 March 2025. It comprises two independent NEDs and the CEO. Legal Counsel (Kimani &amp; Associates) attended for regulatory items. This report covers the enterprise risk register, key risk deep-dives, and the risk appetite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426"/>
      </w:tblGrid>
      <w:tr>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Level</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Count</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Q4 Count</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Change</w:t>
            </w:r>
          </w:p>
        </w:tc>
        <w:tc>
          <w:tcPr>
            <w:tcW w:type="dxa" w:w="24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Primary Driver</w:t>
            </w:r>
          </w:p>
        </w:tc>
      </w:tr>
      <w:tr>
        <w:tc>
          <w:tcPr>
            <w:tcW w:type="dxa" w:w="20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C0392B"/>
                <w:sz w:val="20"/>
                <w:szCs w:val="20"/>
              </w:rPr>
              <w:t xml:space="preserve">High</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3</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 +1</w:t>
            </w:r>
          </w:p>
        </w:tc>
        <w:tc>
          <w:tcPr>
            <w:tcW w:type="dxa" w:w="24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contractor misclassification risk added</w:t>
            </w:r>
          </w:p>
        </w:tc>
      </w:tr>
      <w:tr>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Medium</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5</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w:t>
            </w:r>
          </w:p>
        </w:tc>
        <w:tc>
          <w:tcPr>
            <w:tcW w:type="dxa" w:w="24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 change</w:t>
            </w:r>
          </w:p>
        </w:tc>
      </w:tr>
      <w:tr>
        <w:tc>
          <w:tcPr>
            <w:tcW w:type="dxa" w:w="20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Low</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4</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 -1</w:t>
            </w:r>
          </w:p>
        </w:tc>
        <w:tc>
          <w:tcPr>
            <w:tcW w:type="dxa" w:w="24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Nairobi data centre risk mitigated</w:t>
            </w:r>
          </w:p>
        </w:tc>
      </w:tr>
    </w:tbl>
    <w:p>
      <w:pPr>
        <w:spacing w:after="140" w:before="0"/>
      </w:pPr>
    </w:p>
    <w:p>
      <w:pPr>
        <w:pStyle w:val="Heading1"/>
        <w:spacing w:after="140" w:before="400"/>
      </w:pPr>
      <w:r>
        <w:rPr>
          <w:rFonts w:ascii="Calibri" w:cs="Calibri" w:eastAsia="Calibri" w:hAnsi="Calibri"/>
          <w:b/>
          <w:bCs/>
          <w:color w:val="0D1B2A"/>
          <w:sz w:val="30"/>
          <w:szCs w:val="30"/>
        </w:rPr>
        <w:t xml:space="preserve">2.  Enterprise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1000"/>
        <w:gridCol w:w="800"/>
        <w:gridCol w:w="700"/>
        <w:gridCol w:w="800"/>
        <w:gridCol w:w="1786"/>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Risk</w:t>
            </w:r>
          </w:p>
        </w:tc>
        <w:tc>
          <w:tcPr>
            <w:tcW w:type="dxa" w:w="1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Category</w:t>
            </w:r>
          </w:p>
        </w:tc>
        <w:tc>
          <w:tcPr>
            <w:tcW w:type="dxa" w:w="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Likelihood</w:t>
            </w:r>
          </w:p>
        </w:tc>
        <w:tc>
          <w:tcPr>
            <w:tcW w:type="dxa" w:w="7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Impact</w:t>
            </w:r>
          </w:p>
        </w:tc>
        <w:tc>
          <w:tcPr>
            <w:tcW w:type="dxa" w:w="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Rating</w:t>
            </w:r>
          </w:p>
        </w:tc>
        <w:tc>
          <w:tcPr>
            <w:tcW w:type="dxa" w:w="178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R-01</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Talent Attrition — Loss of Key AI Engineers</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People</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High</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CTO</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R-02</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Concentration — Top 3 Clients = 48% of Revenue</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Commercial</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High</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CCO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R-03</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Contractor Misclassification — Labour Law Exposure</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Legal</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High</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R-04</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Cortex Platform Downtime — SLA Breach Risk</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Technology</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R-05</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Data Privacy Breach — Client AI Model Data</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Technology</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 / DPO</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R-06</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Revenue Recognition — IFRS 15 Compliance</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Financial</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R-07</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IP Ownership — Contributed Open Source Risk</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Legal</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 / Legal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R-08</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Competitive Entry — Global AI Vendors</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Commercial</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CCO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R-09</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Regulatory — AI Governance (Kenya / SA)</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Regulatory</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Low</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R-10</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FX Volatility — KES / ZAR / USD</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Financial</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Low</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Low</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R-11</w:t>
            </w:r>
          </w:p>
        </w:tc>
        <w:tc>
          <w:tcPr>
            <w:tcW w:type="dxa" w:w="2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CBK / FSCA Procurement Restrictions on AI</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Regulatory</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Low</w:t>
            </w:r>
          </w:p>
        </w:tc>
        <w:tc>
          <w:tcPr>
            <w:tcW w:type="dxa" w:w="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Medium</w:t>
            </w:r>
          </w:p>
        </w:tc>
        <w:tc>
          <w:tcPr>
            <w:tcW w:type="dxa" w:w="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Low</w:t>
            </w:r>
          </w:p>
        </w:tc>
        <w:tc>
          <w:tcPr>
            <w:tcW w:type="dxa" w:w="17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R-12</w:t>
            </w:r>
          </w:p>
        </w:tc>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Co-Founder Dependency — Key Person Risk</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Strategic</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Low</w:t>
            </w:r>
          </w:p>
        </w:tc>
        <w:tc>
          <w:tcPr>
            <w:tcW w:type="dxa" w:w="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High</w:t>
            </w:r>
          </w:p>
        </w:tc>
        <w:tc>
          <w:tcPr>
            <w:tcW w:type="dxa" w:w="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Low</w:t>
            </w:r>
          </w:p>
        </w:tc>
        <w:tc>
          <w:tcPr>
            <w:tcW w:type="dxa" w:w="17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r>
    </w:tbl>
    <w:p>
      <w:pPr>
        <w:spacing w:after="140" w:before="0"/>
      </w:pPr>
    </w:p>
    <w:p>
      <w:pPr>
        <w:pStyle w:val="Heading1"/>
        <w:spacing w:after="140" w:before="400"/>
      </w:pPr>
      <w:r>
        <w:rPr>
          <w:rFonts w:ascii="Calibri" w:cs="Calibri" w:eastAsia="Calibri" w:hAnsi="Calibri"/>
          <w:b/>
          <w:bCs/>
          <w:color w:val="0D1B2A"/>
          <w:sz w:val="30"/>
          <w:szCs w:val="30"/>
        </w:rPr>
        <w:t xml:space="preserve">3.  High-Risk Deep Dives</w:t>
      </w:r>
    </w:p>
    <w:p>
      <w:pPr>
        <w:pStyle w:val="Heading2"/>
        <w:spacing w:after="100" w:before="280"/>
      </w:pPr>
      <w:r>
        <w:rPr>
          <w:rFonts w:ascii="Calibri" w:cs="Calibri" w:eastAsia="Calibri" w:hAnsi="Calibri"/>
          <w:b/>
          <w:bCs/>
          <w:color w:val="1E3A5F"/>
          <w:sz w:val="24"/>
          <w:szCs w:val="24"/>
        </w:rPr>
        <w:t xml:space="preserve">3.1  R-01: Engineering Talent Attrition</w:t>
      </w:r>
    </w:p>
    <w:p>
      <w:pPr>
        <w:spacing w:after="120" w:before="80"/>
        <w:jc w:val="both"/>
      </w:pPr>
      <w:r>
        <w:rPr>
          <w:rFonts w:ascii="Calibri" w:cs="Calibri" w:eastAsia="Calibri" w:hAnsi="Calibri"/>
          <w:b w:val="false"/>
          <w:bCs w:val="false"/>
          <w:color w:val="1A1A2E"/>
          <w:sz w:val="22"/>
          <w:szCs w:val="22"/>
        </w:rPr>
        <w:t xml:space="preserve">Two senior AI engineers left Lemasy in Q1 — both recruited by Google Cloud Africa and Microsoft Azure. Their combined billing value was approximately USD 0.18M per quarter. Time to replace at our current hiring pace is 74 days average. This risk directly threatens delivery capacity and client NPS.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Proposed Mitigation: 15% engineering salary uplift (tabled for board approval), 4% ESOP pool top-up (tabled for board approval), and structured university pipeline programme.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Escalation Trigger: If two or more additional senior engineers depart in Q2, the CEO will convene an emergency board call.</w:t>
      </w:r>
    </w:p>
    <w:p>
      <w:pPr>
        <w:spacing w:after="80" w:before="0"/>
      </w:pPr>
    </w:p>
    <w:p>
      <w:pPr>
        <w:pStyle w:val="Heading2"/>
        <w:spacing w:after="100" w:before="280"/>
      </w:pPr>
      <w:r>
        <w:rPr>
          <w:rFonts w:ascii="Calibri" w:cs="Calibri" w:eastAsia="Calibri" w:hAnsi="Calibri"/>
          <w:b/>
          <w:bCs/>
          <w:color w:val="1E3A5F"/>
          <w:sz w:val="24"/>
          <w:szCs w:val="24"/>
        </w:rPr>
        <w:t xml:space="preserve">3.2  R-02: Client Concentration</w:t>
      </w:r>
    </w:p>
    <w:p>
      <w:pPr>
        <w:spacing w:after="120" w:before="80"/>
        <w:jc w:val="both"/>
      </w:pPr>
      <w:r>
        <w:rPr>
          <w:rFonts w:ascii="Calibri" w:cs="Calibri" w:eastAsia="Calibri" w:hAnsi="Calibri"/>
          <w:b w:val="false"/>
          <w:bCs w:val="false"/>
          <w:color w:val="1A1A2E"/>
          <w:sz w:val="22"/>
          <w:szCs w:val="22"/>
        </w:rPr>
        <w:t xml:space="preserve">Our top three clients — Equity Bank Kenya (16% of revenue), Absa Bank SA (12%), and KCB Group (10%) — collectively represent 48% of Q1 revenue. The loss of any one of these would be materially disruptive. Mitigation: diversification is the core commercial strategy; the Q2 pipeline of USD 6.4M is specifically targeted at adding 3–4 new enterprise clients. No client is within a contract expiry period in Q2.</w:t>
      </w:r>
    </w:p>
    <w:p>
      <w:pPr>
        <w:spacing w:after="80" w:before="0"/>
      </w:pPr>
    </w:p>
    <w:p>
      <w:pPr>
        <w:pStyle w:val="Heading2"/>
        <w:spacing w:after="100" w:before="280"/>
      </w:pPr>
      <w:r>
        <w:rPr>
          <w:rFonts w:ascii="Calibri" w:cs="Calibri" w:eastAsia="Calibri" w:hAnsi="Calibri"/>
          <w:b/>
          <w:bCs/>
          <w:color w:val="1E3A5F"/>
          <w:sz w:val="24"/>
          <w:szCs w:val="24"/>
        </w:rPr>
        <w:t xml:space="preserve">3.3  R-03: SA Contractor Misclassification (NEW — HIGH)</w:t>
      </w:r>
    </w:p>
    <w:p>
      <w:pPr>
        <w:spacing w:after="120" w:before="80"/>
        <w:jc w:val="both"/>
      </w:pPr>
      <w:r>
        <w:rPr>
          <w:rFonts w:ascii="Calibri" w:cs="Calibri" w:eastAsia="Calibri" w:hAnsi="Calibri"/>
          <w:b w:val="false"/>
          <w:bCs w:val="false"/>
          <w:color w:val="1A1A2E"/>
          <w:sz w:val="22"/>
          <w:szCs w:val="22"/>
        </w:rPr>
        <w:t xml:space="preserve">Legal Counsel identified that 4 of 11 contractors delivering billable work in South Africa lack signed service agreements and may be characterised as employees under the Labour Relations Act 66 of 1995 and the Basic Conditions of Employment Act. If reclassified, Lemasy SA could face backdated UIF, SDL, and PAYE obligations, plus potential unfair dismissal liability.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Immediate Action: All 11 contractors to have signed independent contractor agreements in place by 30 April 2025. Legal Counsel is drafting the standard form.</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Structural Fix: Once Lemasy SA (Pty) Ltd is formally incorporated, a clear employment vs contractor policy will be established for the South Africa entity.</w:t>
      </w:r>
    </w:p>
    <w:p>
      <w:pPr>
        <w:spacing w:after="140" w:before="0"/>
      </w:pPr>
    </w:p>
    <w:p>
      <w:pPr>
        <w:pStyle w:val="Heading1"/>
        <w:spacing w:after="140" w:before="400"/>
      </w:pPr>
      <w:r>
        <w:rPr>
          <w:rFonts w:ascii="Calibri" w:cs="Calibri" w:eastAsia="Calibri" w:hAnsi="Calibri"/>
          <w:b/>
          <w:bCs/>
          <w:color w:val="0D1B2A"/>
          <w:sz w:val="30"/>
          <w:szCs w:val="30"/>
        </w:rPr>
        <w:t xml:space="preserve">4.  Board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RI-01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Contractor Agreements: CEO and Legal to ensure all 11 SA contractors have signed agreements</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Kimani &amp; Associates</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RI-02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Retention Plan: Board to approve salary uplift and ESOP top-up as primary talent risk mitigations</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Board — 28 Mar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RI-03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Concentration Watch: CCO to report Q2 pipeline progress by client and sector at Q2 board</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CCO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RI-04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AI Governance Monitoring: CEO and Legal to produce a 1-page regulatory watch note on Kenya and SA AI governance developments for each board meeting</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Each Board Meeting</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Risk &amp; Compliance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2026-05-01T08:34:32.611Z</dcterms:created>
  <dcterms:modified xsi:type="dcterms:W3CDTF">2026-05-01T08:34:32.611Z</dcterms:modified>
</cp:coreProperties>
</file>

<file path=docProps/custom.xml><?xml version="1.0" encoding="utf-8"?>
<Properties xmlns="http://schemas.openxmlformats.org/officeDocument/2006/custom-properties" xmlns:vt="http://schemas.openxmlformats.org/officeDocument/2006/docPropsVTypes"/>
</file>