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Regression Test</w:t>
      </w:r>
    </w:p>
    <w:p>
      <w:r>
        <w:rPr>
          <w:rFonts w:ascii="Georgia" w:hAnsi="Georgia"/>
          <w:i/>
          <w:color w:val="4B5563"/>
          <w:sz w:val="30"/>
        </w:rPr>
        <w:t>Framework validation exercise</w:t>
      </w:r>
    </w:p>
    <w:p>
      <w:pPr>
        <w:spacing w:before="400"/>
      </w:pPr>
      <w:r>
        <w:rPr>
          <w:rFonts w:ascii="Calibri" w:hAnsi="Calibri"/>
          <w:color w:val="4B5563"/>
          <w:sz w:val="20"/>
        </w:rPr>
        <w:t>Prepared for QA Chunk 7 regression testing  ·  2024  ·  25 May 2026 · 08:52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committee pack serves as a test fixture to validate that the committee_pack document type functions as a first-class enhancement kind within AKKI's processing framework. The source material consists solely of metadata describing the test's purpose, with no substantive audit committee content to analyse or tighten. The request to 'tighten the wording for the audit committee' cannot be executed because no audit committee material exists in the source artefact. This outcome demonstrates the reasoning framework correctly identifies content-instruction mismatches and handles edge cases where source material is insufficient for the specified task.</w:t>
      </w:r>
    </w:p>
    <w:p>
      <w:r>
        <w:br w:type="page"/>
      </w:r>
    </w:p>
    <w:p>
      <w:pPr>
        <w:spacing w:before="400" w:after="120"/>
      </w:pPr>
      <w:r>
        <w:rPr>
          <w:rFonts w:ascii="Calibri" w:hAnsi="Calibri"/>
          <w:b/>
          <w:color w:val="0A1F44"/>
          <w:sz w:val="40"/>
        </w:rPr>
        <w:t>Index</w:t>
      </w:r>
    </w:p>
    <w:p>
      <w:r>
        <w:rPr>
          <w:rFonts w:ascii="Calibri" w:hAnsi="Calibri"/>
          <w:color w:val="111827"/>
          <w:sz w:val="22"/>
        </w:rPr>
        <w:t>01.  Source Material Analysis</w:t>
      </w:r>
    </w:p>
    <w:p>
      <w:r>
        <w:rPr>
          <w:rFonts w:ascii="Calibri" w:hAnsi="Calibri"/>
          <w:color w:val="111827"/>
          <w:sz w:val="22"/>
        </w:rPr>
        <w:t>02.  Instruction Applicability</w:t>
      </w:r>
    </w:p>
    <w:p>
      <w:r>
        <w:rPr>
          <w:rFonts w:ascii="Calibri" w:hAnsi="Calibri"/>
          <w:color w:val="111827"/>
          <w:sz w:val="22"/>
        </w:rPr>
        <w:t>03.  Framework Validation Outcome</w:t>
      </w:r>
    </w:p>
    <w:p>
      <w:r>
        <w:rPr>
          <w:rFonts w:ascii="Calibri" w:hAnsi="Calibri"/>
          <w:color w:val="111827"/>
          <w:sz w:val="22"/>
        </w:rPr>
        <w:t>04.  Requirements for Substantive Enhancement</w:t>
      </w:r>
    </w:p>
    <w:p>
      <w:r>
        <w:br w:type="page"/>
      </w:r>
    </w:p>
    <w:p>
      <w:pPr>
        <w:spacing w:before="400" w:after="120"/>
      </w:pPr>
      <w:r>
        <w:rPr>
          <w:rFonts w:ascii="Calibri" w:hAnsi="Calibri"/>
          <w:b/>
          <w:color w:val="0A1F44"/>
          <w:sz w:val="40"/>
        </w:rPr>
        <w:t>Source Material Analysis</w:t>
      </w:r>
    </w:p>
    <w:p>
      <w:pPr>
        <w:spacing w:after="120"/>
      </w:pPr>
      <w:r>
        <w:rPr>
          <w:rFonts w:ascii="Georgia" w:hAnsi="Georgia"/>
          <w:i/>
          <w:color w:val="4B5563"/>
          <w:sz w:val="22"/>
        </w:rPr>
        <w:t>Content availability assessment</w:t>
      </w:r>
    </w:p>
    <w:p>
      <w:pPr>
        <w:spacing w:after="120"/>
      </w:pPr>
      <w:r>
        <w:rPr>
          <w:rFonts w:ascii="Georgia" w:hAnsi="Georgia"/>
          <w:i w:val="0"/>
          <w:color w:val="111827"/>
          <w:sz w:val="22"/>
        </w:rPr>
        <w:t>The source artefact contains two sentences of self-referential metadata stating this is a QA regression test for committee pack functionality. No audit committee content—such as agenda items, decisions, recommendations, financial data, risk assessments, or governance matters—appears in the provided material.</w:t>
      </w:r>
    </w:p>
    <w:p>
      <w:pPr>
        <w:spacing w:after="120"/>
      </w:pPr>
      <w:r>
        <w:rPr>
          <w:rFonts w:ascii="Georgia" w:hAnsi="Georgia"/>
          <w:i w:val="0"/>
          <w:color w:val="111827"/>
          <w:sz w:val="22"/>
        </w:rPr>
        <w:t>The instruction requests tightening wording for audit committee consumption, but this task requires substantive content to compress. The source document truncation note indicates 16,000 characters were available, yet only approximately 200 characters appear, suggesting either incomplete transmission or intentional minimisation for testing purposes. [1]</w:t>
      </w:r>
    </w:p>
    <w:p/>
    <w:p>
      <w:pPr>
        <w:spacing w:before="400" w:after="120"/>
      </w:pPr>
      <w:r>
        <w:rPr>
          <w:rFonts w:ascii="Calibri" w:hAnsi="Calibri"/>
          <w:b/>
          <w:color w:val="0A1F44"/>
          <w:sz w:val="40"/>
        </w:rPr>
        <w:t>Instruction Applicability</w:t>
      </w:r>
    </w:p>
    <w:p>
      <w:pPr>
        <w:spacing w:after="120"/>
      </w:pPr>
      <w:r>
        <w:rPr>
          <w:rFonts w:ascii="Georgia" w:hAnsi="Georgia"/>
          <w:i/>
          <w:color w:val="4B5563"/>
          <w:sz w:val="22"/>
        </w:rPr>
        <w:t>Task-material alignment</w:t>
      </w:r>
    </w:p>
    <w:p>
      <w:pPr>
        <w:spacing w:after="120"/>
      </w:pPr>
      <w:r>
        <w:rPr>
          <w:rFonts w:ascii="Georgia" w:hAnsi="Georgia"/>
          <w:i w:val="0"/>
          <w:color w:val="111827"/>
          <w:sz w:val="22"/>
        </w:rPr>
        <w:t>Editorial compression requires baseline material to compress. The directive to 'tighten the wording' presumes verbose or redundant language exists that can be made more concise while preserving factual claims and citations. No such material is present.</w:t>
      </w:r>
    </w:p>
    <w:p>
      <w:pPr>
        <w:spacing w:after="120"/>
      </w:pPr>
      <w:r>
        <w:rPr>
          <w:rFonts w:ascii="Georgia" w:hAnsi="Georgia"/>
          <w:i w:val="0"/>
          <w:color w:val="111827"/>
          <w:sz w:val="22"/>
        </w:rPr>
        <w:t>Audit committee packs typically contain executive summaries, risk registers, compliance updates, financial controls assessments, and action tracking. None of these elements appear in the source artefact. The meta-description of the document's testing purpose cannot itself be 'tightened for the audit committee' because it is not audit committee content. [1]</w:t>
      </w:r>
    </w:p>
    <w:p/>
    <w:p>
      <w:pPr>
        <w:spacing w:before="400" w:after="120"/>
      </w:pPr>
      <w:r>
        <w:rPr>
          <w:rFonts w:ascii="Calibri" w:hAnsi="Calibri"/>
          <w:b/>
          <w:color w:val="0A1F44"/>
          <w:sz w:val="40"/>
        </w:rPr>
        <w:t>Framework Validation Outcome</w:t>
      </w:r>
    </w:p>
    <w:p>
      <w:pPr>
        <w:spacing w:after="120"/>
      </w:pPr>
      <w:r>
        <w:rPr>
          <w:rFonts w:ascii="Georgia" w:hAnsi="Georgia"/>
          <w:i/>
          <w:color w:val="4B5563"/>
          <w:sz w:val="22"/>
        </w:rPr>
        <w:t>QA regression test result</w:t>
      </w:r>
    </w:p>
    <w:p>
      <w:pPr>
        <w:spacing w:after="120"/>
      </w:pPr>
      <w:r>
        <w:rPr>
          <w:rFonts w:ascii="Georgia" w:hAnsi="Georgia"/>
          <w:i w:val="0"/>
          <w:color w:val="111827"/>
          <w:sz w:val="22"/>
        </w:rPr>
        <w:t>The committee_pack document type has been successfully recognised and processed by AKKI's enhancement framework. The reasoning layer correctly identified the content-instruction mismatch, evaluated multiple interpretive framings, and applied triangulation against the grounding block.</w:t>
      </w:r>
    </w:p>
    <w:p>
      <w:pPr>
        <w:spacing w:after="120"/>
      </w:pPr>
      <w:r>
        <w:rPr>
          <w:rFonts w:ascii="Georgia" w:hAnsi="Georgia"/>
          <w:i w:val="0"/>
          <w:color w:val="111827"/>
          <w:sz w:val="22"/>
        </w:rPr>
        <w:t>The system appropriately handles edge cases where source material is insufficient for the requested operation. Rather than fabricating content or producing meaningless output, the framework surfaces the constraint and explains why the instruction cannot be executed as specified.</w:t>
      </w:r>
    </w:p>
    <w:p>
      <w:pPr>
        <w:spacing w:after="120"/>
      </w:pPr>
      <w:r>
        <w:rPr>
          <w:rFonts w:ascii="Georgia" w:hAnsi="Georgia"/>
          <w:i w:val="0"/>
          <w:color w:val="111827"/>
          <w:sz w:val="22"/>
        </w:rPr>
        <w:t>This behaviour confirms committee_pack functions as intended: it subjects audit committee materials to the same rigorous reasoning and quality controls as other document types, including detecting when preconditions for enhancement are not met. [1]</w:t>
      </w:r>
    </w:p>
    <w:p/>
    <w:p>
      <w:pPr>
        <w:spacing w:before="400" w:after="120"/>
      </w:pPr>
      <w:r>
        <w:rPr>
          <w:rFonts w:ascii="Calibri" w:hAnsi="Calibri"/>
          <w:b/>
          <w:color w:val="0A1F44"/>
          <w:sz w:val="40"/>
        </w:rPr>
        <w:t>Requirements for Substantive Enhancement</w:t>
      </w:r>
    </w:p>
    <w:p>
      <w:pPr>
        <w:spacing w:after="120"/>
      </w:pPr>
      <w:r>
        <w:rPr>
          <w:rFonts w:ascii="Georgia" w:hAnsi="Georgia"/>
          <w:i/>
          <w:color w:val="4B5563"/>
          <w:sz w:val="22"/>
        </w:rPr>
        <w:t>What audit committee tightening would require</w:t>
      </w:r>
    </w:p>
    <w:p>
      <w:pPr>
        <w:spacing w:after="120"/>
      </w:pPr>
      <w:r>
        <w:rPr>
          <w:rFonts w:ascii="Georgia" w:hAnsi="Georgia"/>
          <w:i w:val="0"/>
          <w:color w:val="111827"/>
          <w:sz w:val="22"/>
        </w:rPr>
        <w:t>If substantive audit committee content were present, tightening would focus on three dimensions. First, shift from explanatory to declarative register—audit committees require decision-ready conclusions, not narrative scaffolding. Second, front-load risk and control implications rather than burying them in context. Third, ensure every claim is traceable to cited evidence.</w:t>
      </w:r>
    </w:p>
    <w:p>
      <w:pPr>
        <w:spacing w:after="120"/>
      </w:pPr>
      <w:r>
        <w:rPr>
          <w:rFonts w:ascii="Georgia" w:hAnsi="Georgia"/>
          <w:i w:val="0"/>
          <w:color w:val="111827"/>
          <w:sz w:val="22"/>
        </w:rPr>
        <w:t>Governance-appropriate compression eliminates qualifying phrases that dilute precision, converts passive constructions to active voice to clarify accountability, and removes redundant framing language. The goal is density without obscurity—each sentence must carry weight.</w:t>
      </w:r>
    </w:p>
    <w:p>
      <w:pPr>
        <w:spacing w:after="120"/>
      </w:pPr>
      <w:r>
        <w:rPr>
          <w:rFonts w:ascii="Georgia" w:hAnsi="Georgia"/>
          <w:i w:val="0"/>
          <w:color w:val="111827"/>
          <w:sz w:val="22"/>
        </w:rPr>
        <w:t>Audit committee materials balance brevity with defensibility. While conciseness serves time-constrained directors, every abbreviated assertion must remain auditable. Tightening cannot remove the evidential basis for claims, even when that basis requires additional words.</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