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left"/>
      </w:pPr>
      <w:r>
        <w:rPr>
          <w:rFonts w:ascii="Calibri" w:cs="Calibri" w:eastAsia="Calibri" w:hAnsi="Calibri"/>
          <w:b/>
          <w:bCs/>
          <w:color w:val="B8860B"/>
          <w:spacing w:val="80"/>
          <w:sz w:val="20"/>
          <w:szCs w:val="20"/>
        </w:rPr>
        <w:t xml:space="preserve">CONCEPT NOTE</w:t>
      </w:r>
    </w:p>
    <w:p>
      <w:pPr>
        <w:pBdr>
          <w:bottom w:val="single" w:color="B8860B" w:sz="12" w:space="4"/>
        </w:pBdr>
        <w:spacing w:after="120"/>
        <w:jc w:val="left"/>
      </w:pPr>
      <w:r>
        <w:rPr>
          <w:rFonts w:ascii="Calibri" w:cs="Calibri" w:eastAsia="Calibri" w:hAnsi="Calibri"/>
          <w:i/>
          <w:iCs/>
          <w:color w:val="4A5568"/>
          <w:sz w:val="18"/>
          <w:szCs w:val="18"/>
        </w:rPr>
        <w:t xml:space="preserve">For partner engagement and ecosystem briefing</w:t>
      </w:r>
    </w:p>
    <w:p>
      <w:pPr>
        <w:spacing w:before="400"/>
      </w:pPr>
    </w:p>
    <w:p>
      <w:pPr>
        <w:spacing w:after="200"/>
        <w:jc w:val="left"/>
      </w:pPr>
      <w:r>
        <w:rPr>
          <w:rFonts w:ascii="Georgia" w:cs="Georgia" w:eastAsia="Georgia" w:hAnsi="Georgia"/>
          <w:b/>
          <w:bCs/>
          <w:color w:val="1A2A44"/>
          <w:sz w:val="56"/>
          <w:szCs w:val="56"/>
        </w:rPr>
        <w:t xml:space="preserve">An Equal Sourcing</w:t>
      </w:r>
    </w:p>
    <w:p>
      <w:pPr>
        <w:spacing w:after="200"/>
        <w:jc w:val="left"/>
      </w:pPr>
      <w:r>
        <w:rPr>
          <w:rFonts w:ascii="Georgia" w:cs="Georgia" w:eastAsia="Georgia" w:hAnsi="Georgia"/>
          <w:b/>
          <w:bCs/>
          <w:color w:val="1A2A44"/>
          <w:sz w:val="56"/>
          <w:szCs w:val="56"/>
        </w:rPr>
        <w:t xml:space="preserve">Marketplace for Kenya</w:t>
      </w:r>
    </w:p>
    <w:p>
      <w:pPr>
        <w:spacing w:after="240"/>
        <w:jc w:val="left"/>
      </w:pPr>
      <w:r>
        <w:rPr>
          <w:rFonts w:ascii="Georgia" w:cs="Georgia" w:eastAsia="Georgia" w:hAnsi="Georgia"/>
          <w:i/>
          <w:iCs/>
          <w:color w:val="2D3748"/>
          <w:sz w:val="24"/>
          <w:szCs w:val="24"/>
        </w:rPr>
        <w:t xml:space="preserve">Programme and technology infrastructure to make supplier inclusion measurable, executable, and at scale — for women-owned and women-run businesses.</w:t>
      </w:r>
    </w:p>
    <w:p>
      <w:pPr>
        <w:spacing w:after="400"/>
        <w:jc w:val="left"/>
      </w:pPr>
      <w:r>
        <w:rPr>
          <w:rFonts w:ascii="Calibri" w:cs="Calibri" w:eastAsia="Calibri" w:hAnsi="Calibri"/>
          <w:b/>
          <w:bCs/>
          <w:color w:val="B8860B"/>
          <w:spacing w:val="80"/>
          <w:sz w:val="22"/>
          <w:szCs w:val="22"/>
        </w:rPr>
        <w:t xml:space="preserve">CONNECT  ·  RESOURCE  ·  DELIVER</w:t>
      </w:r>
    </w:p>
    <w:p>
      <w:pPr>
        <w:spacing w:before="1800"/>
      </w:pPr>
    </w:p>
    <w:p>
      <w:pPr>
        <w:pBdr>
          <w:top w:val="single" w:color="D9D4C8" w:sz="6" w:space="4"/>
        </w:pBdr>
        <w:spacing w:after="60" w:before="200"/>
      </w:pPr>
      <w:r>
        <w:rPr>
          <w:rFonts w:ascii="Calibri" w:cs="Calibri" w:eastAsia="Calibri" w:hAnsi="Calibri"/>
          <w:b/>
          <w:bCs/>
          <w:color w:val="B8860B"/>
          <w:spacing w:val="60"/>
          <w:sz w:val="18"/>
          <w:szCs w:val="18"/>
        </w:rPr>
        <w:t xml:space="preserve">Hosted by</w:t>
      </w:r>
    </w:p>
    <w:p>
      <w:pPr>
        <w:spacing w:after="40"/>
      </w:pPr>
      <w:r>
        <w:rPr>
          <w:rFonts w:ascii="Georgia" w:cs="Georgia" w:eastAsia="Georgia" w:hAnsi="Georgia"/>
          <w:b/>
          <w:bCs/>
          <w:color w:val="1A2A44"/>
          <w:sz w:val="24"/>
          <w:szCs w:val="24"/>
        </w:rPr>
        <w:t xml:space="preserve">International Chamber of Commerce — Kenya Chapter</w:t>
      </w:r>
    </w:p>
    <w:p>
      <w:pPr>
        <w:spacing w:after="240"/>
      </w:pPr>
      <w:r>
        <w:rPr>
          <w:rFonts w:ascii="Calibri" w:cs="Calibri" w:eastAsia="Calibri" w:hAnsi="Calibri"/>
          <w:i/>
          <w:iCs/>
          <w:color w:val="4A5568"/>
          <w:sz w:val="22"/>
          <w:szCs w:val="22"/>
        </w:rPr>
        <w:t xml:space="preserve">With WeDeliver as the operating platform</w:t>
      </w:r>
    </w:p>
    <w:p>
      <w:pPr>
        <w:spacing w:after="40"/>
      </w:pPr>
      <w:r>
        <w:rPr>
          <w:rFonts w:ascii="Calibri" w:cs="Calibri" w:eastAsia="Calibri" w:hAnsi="Calibri"/>
          <w:color w:val="4A5568"/>
          <w:sz w:val="20"/>
          <w:szCs w:val="20"/>
        </w:rPr>
        <w:t xml:space="preserve">Document version:  </w:t>
      </w:r>
      <w:r>
        <w:rPr>
          <w:rFonts w:ascii="Calibri" w:cs="Calibri" w:eastAsia="Calibri" w:hAnsi="Calibri"/>
          <w:color w:val="1A2A44"/>
          <w:sz w:val="20"/>
          <w:szCs w:val="20"/>
        </w:rPr>
        <w:t xml:space="preserve">v1.0  ·  April 2026</w:t>
      </w:r>
    </w:p>
    <w:p>
      <w:r>
        <w:rPr>
          <w:rFonts w:ascii="Calibri" w:cs="Calibri" w:eastAsia="Calibri" w:hAnsi="Calibri"/>
          <w:color w:val="4A5568"/>
          <w:sz w:val="20"/>
          <w:szCs w:val="20"/>
        </w:rPr>
        <w:t xml:space="preserve">Audience:  </w:t>
      </w:r>
      <w:r>
        <w:rPr>
          <w:rFonts w:ascii="Calibri" w:cs="Calibri" w:eastAsia="Calibri" w:hAnsi="Calibri"/>
          <w:color w:val="1A2A44"/>
          <w:sz w:val="20"/>
          <w:szCs w:val="20"/>
        </w:rPr>
        <w:t xml:space="preserve">Strategic partners, donors, and ecosystem actors</w:t>
      </w:r>
    </w:p>
    <w:p>
      <w:r>
        <w:br w:type="page"/>
      </w:r>
    </w:p>
    <w:p>
      <w:pPr>
        <w:sectPr>
          <w:pgSz w:w="12240" w:h="15840" w:orient="portrait"/>
          <w:pgMar w:top="1440" w:right="1440" w:bottom="1440" w:left="1440" w:header="708" w:footer="708" w:gutter="0"/>
          <w:pgNumType/>
          <w:docGrid w:linePitch="360"/>
        </w:sectPr>
      </w:pPr>
    </w:p>
    <w:p>
      <w:pPr>
        <w:spacing w:after="40" w:before="240"/>
      </w:pPr>
      <w:r>
        <w:rPr>
          <w:rFonts w:ascii="Calibri" w:cs="Calibri" w:eastAsia="Calibri" w:hAnsi="Calibri"/>
          <w:b/>
          <w:bCs/>
          <w:color w:val="B8860B"/>
          <w:spacing w:val="60"/>
          <w:sz w:val="18"/>
          <w:szCs w:val="18"/>
        </w:rPr>
        <w:t xml:space="preserve">§ 1</w:t>
      </w:r>
    </w:p>
    <w:p>
      <w:pPr>
        <w:pStyle w:val="Heading1"/>
        <w:spacing w:after="180" w:before="200"/>
      </w:pPr>
      <w:r>
        <w:rPr>
          <w:rFonts w:ascii="Georgia" w:cs="Georgia" w:eastAsia="Georgia" w:hAnsi="Georgia"/>
          <w:b/>
          <w:bCs/>
          <w:color w:val="1A2A44"/>
          <w:sz w:val="36"/>
          <w:szCs w:val="36"/>
        </w:rPr>
        <w:t xml:space="preserve">The Opportunity</w:t>
      </w:r>
    </w:p>
    <w:p>
      <w:pPr>
        <w:spacing w:after="180" w:before="120" w:line="340"/>
        <w:jc w:val="both"/>
      </w:pPr>
      <w:r>
        <w:rPr>
          <w:rFonts w:ascii="Calibri" w:cs="Calibri" w:eastAsia="Calibri" w:hAnsi="Calibri"/>
          <w:i/>
          <w:iCs/>
          <w:color w:val="2D3748"/>
          <w:sz w:val="24"/>
          <w:szCs w:val="24"/>
        </w:rPr>
        <w:t xml:space="preserve">Equal sourcing — procurement that systematically reaches women-owned, women-run, and other under-represented suppliers — is one of the largest unrealised value transfers in African economies. The market exists. The intent exists. What is missing is the infrastructure to make it transactional.</w:t>
      </w:r>
    </w:p>
    <w:p>
      <w:pPr>
        <w:pStyle w:val="Heading2"/>
        <w:pBdr>
          <w:bottom w:val="single" w:color="B8860B" w:sz="8" w:space="4"/>
        </w:pBdr>
        <w:spacing w:after="120" w:before="260"/>
      </w:pPr>
      <w:r>
        <w:rPr>
          <w:rFonts w:ascii="Georgia" w:cs="Georgia" w:eastAsia="Georgia" w:hAnsi="Georgia"/>
          <w:b/>
          <w:bCs/>
          <w:color w:val="1A2A44"/>
          <w:sz w:val="28"/>
          <w:szCs w:val="28"/>
        </w:rPr>
        <w:t xml:space="preserve">The market that should exist</w:t>
      </w:r>
    </w:p>
    <w:p>
      <w:pPr>
        <w:spacing w:after="80" w:before="80" w:line="320"/>
        <w:jc w:val="both"/>
      </w:pPr>
      <w:r>
        <w:rPr>
          <w:rFonts w:ascii="Calibri" w:cs="Calibri" w:eastAsia="Calibri" w:hAnsi="Calibri"/>
          <w:color w:val="4A5568"/>
          <w:sz w:val="22"/>
          <w:szCs w:val="22"/>
        </w:rPr>
        <w:t xml:space="preserve">Women own or lead approximately 48 percent of Kenya's MSMEs. Women-owned businesses capture less than 3 percent of corporate procurement spend. The gap between ownership share and procurement share — roughly sixteen times — is not unique to Kenya. It replicates across the East African Community, Sub-Saharan Africa, and most emerging markets where supplier diversity has been talked about but not built.</w:t>
      </w:r>
    </w:p>
    <w:p>
      <w:pPr>
        <w:spacing w:after="80" w:before="80" w:line="320"/>
        <w:jc w:val="both"/>
      </w:pPr>
      <w:r>
        <w:rPr>
          <w:rFonts w:ascii="Calibri" w:cs="Calibri" w:eastAsia="Calibri" w:hAnsi="Calibri"/>
          <w:color w:val="4A5568"/>
          <w:sz w:val="22"/>
          <w:szCs w:val="22"/>
        </w:rPr>
        <w:t xml:space="preserve">The opportunity is not philanthropic. At conservative scale, a functioning equal sourcing marketplace in Kenya alone routes between two and four billion shillings of corporate procurement annually toward women-owned suppliers within three years, and unlocks comparable volumes of working capital and trade finance through the financiers attached to the marketplace. Across the EAC, the addressable opportunity is an order of magnitude larger.</w:t>
      </w:r>
    </w:p>
    <w:p>
      <w:pPr>
        <w:pStyle w:val="Heading2"/>
        <w:pBdr>
          <w:bottom w:val="single" w:color="B8860B" w:sz="8" w:space="4"/>
        </w:pBdr>
        <w:spacing w:after="120" w:before="260"/>
      </w:pPr>
      <w:r>
        <w:rPr>
          <w:rFonts w:ascii="Georgia" w:cs="Georgia" w:eastAsia="Georgia" w:hAnsi="Georgia"/>
          <w:b/>
          <w:bCs/>
          <w:color w:val="1A2A44"/>
          <w:sz w:val="28"/>
          <w:szCs w:val="28"/>
        </w:rPr>
        <w:t xml:space="preserve">Why the opportunity has not been captured</w:t>
      </w:r>
    </w:p>
    <w:p>
      <w:pPr>
        <w:spacing w:after="80" w:before="80" w:line="320"/>
        <w:jc w:val="both"/>
      </w:pPr>
      <w:r>
        <w:rPr>
          <w:rFonts w:ascii="Calibri" w:cs="Calibri" w:eastAsia="Calibri" w:hAnsi="Calibri"/>
          <w:color w:val="4A5568"/>
          <w:sz w:val="22"/>
          <w:szCs w:val="22"/>
        </w:rPr>
        <w:t xml:space="preserve">Three structural barriers, well-documented across World Bank, IFC, and UN Women research, repeat across markets:</w:t>
      </w:r>
    </w:p>
    <w:p>
      <w:pPr>
        <w:pStyle w:val="ListParagraph"/>
        <w:numPr>
          <w:ilvl w:val="0"/>
          <w:numId w:val="2"/>
        </w:numPr>
        <w:spacing w:after="60" w:before="60" w:line="320"/>
      </w:pPr>
      <w:r>
        <w:rPr>
          <w:rFonts w:ascii="Calibri" w:cs="Calibri" w:eastAsia="Calibri" w:hAnsi="Calibri"/>
          <w:b/>
          <w:bCs/>
          <w:color w:val="2D3748"/>
          <w:sz w:val="22"/>
          <w:szCs w:val="22"/>
        </w:rPr>
        <w:t xml:space="preserve">Verification. </w:t>
      </w:r>
      <w:r>
        <w:rPr>
          <w:rFonts w:ascii="Calibri" w:cs="Calibri" w:eastAsia="Calibri" w:hAnsi="Calibri"/>
          <w:color w:val="4A5568"/>
          <w:sz w:val="22"/>
          <w:szCs w:val="22"/>
        </w:rPr>
        <w:t xml:space="preserve">Women-owned businesses lack verifiable track records that procurement teams can defend under internal audit, especially for contracts above the threshold for single-source procurement.</w:t>
      </w:r>
    </w:p>
    <w:p>
      <w:pPr>
        <w:pStyle w:val="ListParagraph"/>
        <w:numPr>
          <w:ilvl w:val="0"/>
          <w:numId w:val="2"/>
        </w:numPr>
        <w:spacing w:after="60" w:before="60" w:line="320"/>
      </w:pPr>
      <w:r>
        <w:rPr>
          <w:rFonts w:ascii="Calibri" w:cs="Calibri" w:eastAsia="Calibri" w:hAnsi="Calibri"/>
          <w:b/>
          <w:bCs/>
          <w:color w:val="2D3748"/>
          <w:sz w:val="22"/>
          <w:szCs w:val="22"/>
        </w:rPr>
        <w:t xml:space="preserve">Access. </w:t>
      </w:r>
      <w:r>
        <w:rPr>
          <w:rFonts w:ascii="Calibri" w:cs="Calibri" w:eastAsia="Calibri" w:hAnsi="Calibri"/>
          <w:color w:val="4A5568"/>
          <w:sz w:val="22"/>
          <w:szCs w:val="22"/>
        </w:rPr>
        <w:t xml:space="preserve">Tender opportunities flow through informal networks that women entrepreneurs are systematically excluded from, while formal e-procurement systems assume supplier capacity that early-stage businesses do not have.</w:t>
      </w:r>
    </w:p>
    <w:p>
      <w:pPr>
        <w:pStyle w:val="ListParagraph"/>
        <w:numPr>
          <w:ilvl w:val="0"/>
          <w:numId w:val="2"/>
        </w:numPr>
        <w:spacing w:after="60" w:before="60" w:line="320"/>
      </w:pPr>
      <w:r>
        <w:rPr>
          <w:rFonts w:ascii="Calibri" w:cs="Calibri" w:eastAsia="Calibri" w:hAnsi="Calibri"/>
          <w:b/>
          <w:bCs/>
          <w:color w:val="2D3748"/>
          <w:sz w:val="22"/>
          <w:szCs w:val="22"/>
        </w:rPr>
        <w:t xml:space="preserve">Finance. </w:t>
      </w:r>
      <w:r>
        <w:rPr>
          <w:rFonts w:ascii="Calibri" w:cs="Calibri" w:eastAsia="Calibri" w:hAnsi="Calibri"/>
          <w:color w:val="4A5568"/>
          <w:sz w:val="22"/>
          <w:szCs w:val="22"/>
        </w:rPr>
        <w:t xml:space="preserve">Collateral, invoice discounting, and working capital gaps prevent women-owned businesses from executing contracts even when awarded.</w:t>
      </w:r>
    </w:p>
    <w:p>
      <w:pPr>
        <w:spacing w:after="80" w:before="80" w:line="320"/>
        <w:jc w:val="both"/>
      </w:pPr>
      <w:r>
        <w:rPr>
          <w:rFonts w:ascii="Calibri" w:cs="Calibri" w:eastAsia="Calibri" w:hAnsi="Calibri"/>
          <w:color w:val="4A5568"/>
          <w:sz w:val="22"/>
          <w:szCs w:val="22"/>
        </w:rPr>
        <w:t xml:space="preserve">None of these barriers is novel. What is new is that the institutional, technological, and disclosure conditions to address them at infrastructure scale have, for the first time, converged.</w:t>
      </w:r>
    </w:p>
    <w:tbl>
      <w:tblPr>
        <w:tblW w:type="dxa" w:w="9360"/>
        <w:tblBorders>
          <w:top w:val="single" w:color="B8860B" w:sz="18"/>
          <w:left w:val="none" w:color="FFFFFF" w:sz="0"/>
          <w:bottom w:val="single" w:color="B8860B" w:sz="4"/>
          <w:right w:val="none" w:color="FFFFFF" w:sz="0"/>
          <w:insideH w:val="none" w:color="FFFFFF" w:sz="0"/>
          <w:insideV w:val="none" w:color="FFFFFF" w:sz="0"/>
        </w:tblBorders>
      </w:tblPr>
      <w:tblGrid>
        <w:gridCol w:w="9360"/>
      </w:tblGrid>
      <w:tr>
        <w:tc>
          <w:tcPr>
            <w:tcW w:type="dxa" w:w="9360"/>
            <w:shd w:fill="F5F0E6" w:val="clear"/>
            <w:tcMar>
              <w:top w:type="dxa" w:w="200"/>
              <w:left w:type="dxa" w:w="240"/>
              <w:bottom w:type="dxa" w:w="200"/>
              <w:right w:type="dxa" w:w="240"/>
            </w:tcMar>
          </w:tcPr>
          <w:p>
            <w:pPr>
              <w:spacing w:after="80"/>
            </w:pPr>
            <w:r>
              <w:rPr>
                <w:rFonts w:ascii="Calibri" w:cs="Calibri" w:eastAsia="Calibri" w:hAnsi="Calibri"/>
                <w:b/>
                <w:bCs/>
                <w:color w:val="1A2A44"/>
                <w:spacing w:val="50"/>
                <w:sz w:val="18"/>
                <w:szCs w:val="18"/>
              </w:rPr>
              <w:t xml:space="preserve">WHY NOW</w:t>
            </w:r>
          </w:p>
          <w:p>
            <w:pPr>
              <w:spacing w:after="40" w:before="40" w:line="320"/>
            </w:pPr>
            <w:r>
              <w:rPr>
                <w:rFonts w:ascii="Calibri" w:cs="Calibri" w:eastAsia="Calibri" w:hAnsi="Calibri"/>
                <w:color w:val="2D3748"/>
                <w:sz w:val="22"/>
                <w:szCs w:val="22"/>
              </w:rPr>
              <w:t xml:space="preserve">Kenya's NSE ESG Disclosures framework (2021, updated 2024), the emerging convergence of African capital markets on IFRS S1/S2 sustainability disclosure, and the maturation of platform technology and AI-enabled matching capabilities have aligned. The window to build institutional infrastructure ahead of mandatory disclosure — rather than after — is open for the next twenty-four to thirty-six months.</w:t>
            </w:r>
          </w:p>
        </w:tc>
      </w:tr>
    </w:tbl>
    <w:p>
      <w:r>
        <w:br w:type="page"/>
      </w:r>
    </w:p>
    <w:p>
      <w:pPr>
        <w:spacing w:after="40" w:before="240"/>
      </w:pPr>
      <w:r>
        <w:rPr>
          <w:rFonts w:ascii="Calibri" w:cs="Calibri" w:eastAsia="Calibri" w:hAnsi="Calibri"/>
          <w:b/>
          <w:bCs/>
          <w:color w:val="B8860B"/>
          <w:spacing w:val="60"/>
          <w:sz w:val="18"/>
          <w:szCs w:val="18"/>
        </w:rPr>
        <w:t xml:space="preserve">§ 2</w:t>
      </w:r>
    </w:p>
    <w:p>
      <w:pPr>
        <w:pStyle w:val="Heading1"/>
        <w:spacing w:after="180" w:before="200"/>
      </w:pPr>
      <w:r>
        <w:rPr>
          <w:rFonts w:ascii="Georgia" w:cs="Georgia" w:eastAsia="Georgia" w:hAnsi="Georgia"/>
          <w:b/>
          <w:bCs/>
          <w:color w:val="1A2A44"/>
          <w:sz w:val="36"/>
          <w:szCs w:val="36"/>
        </w:rPr>
        <w:t xml:space="preserve">The Challenge</w:t>
      </w:r>
    </w:p>
    <w:p>
      <w:pPr>
        <w:spacing w:after="180" w:before="120" w:line="340"/>
        <w:jc w:val="both"/>
      </w:pPr>
      <w:r>
        <w:rPr>
          <w:rFonts w:ascii="Calibri" w:cs="Calibri" w:eastAsia="Calibri" w:hAnsi="Calibri"/>
          <w:i/>
          <w:iCs/>
          <w:color w:val="2D3748"/>
          <w:sz w:val="24"/>
          <w:szCs w:val="24"/>
        </w:rPr>
        <w:t xml:space="preserve">Many platforms have attempted what WeDeliver proposes. A small number have succeeded. The difference between success and failure is no longer about ambition or design intent. It is about structural fit with how procurement, financing, and institutional accountability actually work.</w:t>
      </w:r>
    </w:p>
    <w:p>
      <w:pPr>
        <w:pStyle w:val="Heading2"/>
        <w:pBdr>
          <w:bottom w:val="single" w:color="B8860B" w:sz="8" w:space="4"/>
        </w:pBdr>
        <w:spacing w:after="120" w:before="260"/>
      </w:pPr>
      <w:r>
        <w:rPr>
          <w:rFonts w:ascii="Georgia" w:cs="Georgia" w:eastAsia="Georgia" w:hAnsi="Georgia"/>
          <w:b/>
          <w:bCs/>
          <w:color w:val="1A2A44"/>
          <w:sz w:val="28"/>
          <w:szCs w:val="28"/>
        </w:rPr>
        <w:t xml:space="preserve">The patterns that fail</w:t>
      </w:r>
    </w:p>
    <w:p>
      <w:pPr>
        <w:spacing w:after="80" w:before="80" w:line="320"/>
        <w:jc w:val="both"/>
      </w:pPr>
      <w:r>
        <w:rPr>
          <w:rFonts w:ascii="Calibri" w:cs="Calibri" w:eastAsia="Calibri" w:hAnsi="Calibri"/>
          <w:color w:val="4A5568"/>
          <w:sz w:val="22"/>
          <w:szCs w:val="22"/>
        </w:rPr>
        <w:t xml:space="preserve">Four failure patterns recur across global and regional attempts at women-supplier marketplaces, and a credible programme must address each at the architectural level.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Failure pattern</w:t>
            </w:r>
          </w:p>
        </w:tc>
        <w:tc>
          <w:tcPr>
            <w:tcW w:type="dxa" w:w="346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Why it fails</w:t>
            </w:r>
          </w:p>
        </w:tc>
        <w:tc>
          <w:tcPr>
            <w:tcW w:type="dxa" w:w="35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What the marketplace must do</w:t>
            </w:r>
          </w:p>
        </w:tc>
      </w:tr>
      <w:tr>
        <w:tc>
          <w:tcPr>
            <w:tcW w:type="dxa" w:w="24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Self-registration directories</w:t>
            </w:r>
          </w:p>
        </w:tc>
        <w:tc>
          <w:tcPr>
            <w:tcW w:type="dxa" w:w="34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Suppliers list themselves; buyers do not trust the data; the platform becomes a static directory with no transactions</w:t>
            </w:r>
          </w:p>
        </w:tc>
        <w:tc>
          <w:tcPr>
            <w:tcW w:type="dxa" w:w="35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Verification must be buyer-attested or programme-graduated, never self-attested alone</w:t>
            </w:r>
          </w:p>
        </w:tc>
      </w:tr>
      <w:tr>
        <w:tc>
          <w:tcPr>
            <w:tcW w:type="dxa" w:w="24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Matching without finance</w:t>
            </w:r>
          </w:p>
        </w:tc>
        <w:tc>
          <w:tcPr>
            <w:tcW w:type="dxa" w:w="34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Suppliers are matched to opportunities they cannot execute due to capital gaps; awarded contracts unravel at delivery</w:t>
            </w:r>
          </w:p>
        </w:tc>
        <w:tc>
          <w:tcPr>
            <w:tcW w:type="dxa" w:w="35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Finance must be embedded in the matching layer, not bolted on as a separate workflow</w:t>
            </w:r>
          </w:p>
        </w:tc>
      </w:tr>
      <w:tr>
        <w:tc>
          <w:tcPr>
            <w:tcW w:type="dxa" w:w="24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Platforms without disclosure leverage</w:t>
            </w:r>
          </w:p>
        </w:tc>
        <w:tc>
          <w:tcPr>
            <w:tcW w:type="dxa" w:w="34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Corporate buyers sign on for optics; procurement volume never materialises</w:t>
            </w:r>
          </w:p>
        </w:tc>
        <w:tc>
          <w:tcPr>
            <w:tcW w:type="dxa" w:w="35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The marketplace must be tied to disclosure or reporting infrastructure that creates accountability</w:t>
            </w:r>
          </w:p>
        </w:tc>
      </w:tr>
      <w:tr>
        <w:tc>
          <w:tcPr>
            <w:tcW w:type="dxa" w:w="24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Profit-maximising platform economics</w:t>
            </w:r>
          </w:p>
        </w:tc>
        <w:tc>
          <w:tcPr>
            <w:tcW w:type="dxa" w:w="34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Supplier-side fees tax the side with least ability to pay; trust erodes; adoption stalls</w:t>
            </w:r>
          </w:p>
        </w:tc>
        <w:tc>
          <w:tcPr>
            <w:tcW w:type="dxa" w:w="35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Supplier access must be free; revenue must come from buyer-side and ecosystem participants</w:t>
            </w:r>
          </w:p>
        </w:tc>
      </w:tr>
    </w:tbl>
    <w:p>
      <w:r>
        <w:br w:type="page"/>
      </w:r>
    </w:p>
    <w:p>
      <w:pPr>
        <w:spacing w:after="40" w:before="240"/>
      </w:pPr>
      <w:r>
        <w:rPr>
          <w:rFonts w:ascii="Calibri" w:cs="Calibri" w:eastAsia="Calibri" w:hAnsi="Calibri"/>
          <w:b/>
          <w:bCs/>
          <w:color w:val="B8860B"/>
          <w:spacing w:val="60"/>
          <w:sz w:val="18"/>
          <w:szCs w:val="18"/>
        </w:rPr>
        <w:t xml:space="preserve">§ 3</w:t>
      </w:r>
    </w:p>
    <w:p>
      <w:pPr>
        <w:pStyle w:val="Heading1"/>
        <w:spacing w:after="180" w:before="200"/>
      </w:pPr>
      <w:r>
        <w:rPr>
          <w:rFonts w:ascii="Georgia" w:cs="Georgia" w:eastAsia="Georgia" w:hAnsi="Georgia"/>
          <w:b/>
          <w:bCs/>
          <w:color w:val="1A2A44"/>
          <w:sz w:val="36"/>
          <w:szCs w:val="36"/>
        </w:rPr>
        <w:t xml:space="preserve">The Solution: An Equal Sourcing Marketplace</w:t>
      </w:r>
    </w:p>
    <w:p>
      <w:pPr>
        <w:spacing w:after="180" w:before="120" w:line="340"/>
        <w:jc w:val="both"/>
      </w:pPr>
      <w:r>
        <w:rPr>
          <w:rFonts w:ascii="Calibri" w:cs="Calibri" w:eastAsia="Calibri" w:hAnsi="Calibri"/>
          <w:i/>
          <w:iCs/>
          <w:color w:val="2D3748"/>
          <w:sz w:val="24"/>
          <w:szCs w:val="24"/>
        </w:rPr>
        <w:t xml:space="preserve">WeDeliver is the operating platform for equal sourcing in Kenya, hosted by the International Chamber of Commerce — Kenya Chapter. It is designed as marketplace infrastructure, not as a programme overlay. Equal sourcing is the structural feature, not a bolt-on category.</w:t>
      </w:r>
    </w:p>
    <w:p>
      <w:pPr>
        <w:pStyle w:val="Heading2"/>
        <w:pBdr>
          <w:bottom w:val="single" w:color="B8860B" w:sz="8" w:space="4"/>
        </w:pBdr>
        <w:spacing w:after="120" w:before="260"/>
      </w:pPr>
      <w:r>
        <w:rPr>
          <w:rFonts w:ascii="Georgia" w:cs="Georgia" w:eastAsia="Georgia" w:hAnsi="Georgia"/>
          <w:b/>
          <w:bCs/>
          <w:color w:val="1A2A44"/>
          <w:sz w:val="28"/>
          <w:szCs w:val="28"/>
        </w:rPr>
        <w:t xml:space="preserve">What the marketplace does</w:t>
      </w:r>
    </w:p>
    <w:p>
      <w:pPr>
        <w:spacing w:after="80" w:before="80" w:line="320"/>
        <w:jc w:val="both"/>
      </w:pPr>
      <w:r>
        <w:rPr>
          <w:rFonts w:ascii="Calibri" w:cs="Calibri" w:eastAsia="Calibri" w:hAnsi="Calibri"/>
          <w:color w:val="4A5568"/>
          <w:sz w:val="22"/>
          <w:szCs w:val="22"/>
        </w:rPr>
        <w:t xml:space="preserve">WeDeliver brings together four entity types — suppliers, buyers, financiers, and capacity programmes — on a single technology platform that handles the full lifecycle of an equal sourcing transaction: from supplier verification, through opportunity matching and deal design, to financing access, contract execution, and performance recording.</w:t>
      </w:r>
    </w:p>
    <w:p>
      <w:pPr>
        <w:spacing w:after="80" w:before="80" w:line="320"/>
        <w:jc w:val="both"/>
      </w:pPr>
      <w:r>
        <w:rPr>
          <w:rFonts w:ascii="Calibri" w:cs="Calibri" w:eastAsia="Calibri" w:hAnsi="Calibri"/>
          <w:color w:val="4A5568"/>
          <w:sz w:val="22"/>
          <w:szCs w:val="22"/>
        </w:rPr>
        <w:t xml:space="preserve">The platform is white-labelled to ICC-Kenya's institutional identity and operated under the Chamber's host authority. It is built and maintained by Sinasa Ltd, the technology partner, under a structured technology partnership agreement.</w:t>
      </w:r>
    </w:p>
    <w:p>
      <w:pPr>
        <w:pStyle w:val="Heading2"/>
        <w:pBdr>
          <w:bottom w:val="single" w:color="B8860B" w:sz="8" w:space="4"/>
        </w:pBdr>
        <w:spacing w:after="120" w:before="260"/>
      </w:pPr>
      <w:r>
        <w:rPr>
          <w:rFonts w:ascii="Georgia" w:cs="Georgia" w:eastAsia="Georgia" w:hAnsi="Georgia"/>
          <w:b/>
          <w:bCs/>
          <w:color w:val="1A2A44"/>
          <w:sz w:val="28"/>
          <w:szCs w:val="28"/>
        </w:rPr>
        <w:t xml:space="preserve">The primary objective</w:t>
      </w:r>
    </w:p>
    <w:p>
      <w:pPr>
        <w:spacing w:after="80" w:before="80" w:line="320"/>
        <w:jc w:val="both"/>
      </w:pPr>
      <w:r>
        <w:rPr>
          <w:rFonts w:ascii="Calibri" w:cs="Calibri" w:eastAsia="Calibri" w:hAnsi="Calibri"/>
          <w:color w:val="4A5568"/>
          <w:sz w:val="22"/>
          <w:szCs w:val="22"/>
        </w:rPr>
        <w:t xml:space="preserve">WeDeliver organises its work around three sequential outcomes for every woman-owned business that enters the marketplace. These are not slogans. They are the operational test of whether the platform has done its job for that supplier, on that deal, in that cycle.</w:t>
      </w:r>
    </w:p>
    <w:p>
      <w:pPr>
        <w:spacing w:after="0" w:before="80"/>
      </w:pPr>
    </w:p>
    <w:p>
      <w:pPr>
        <w:pStyle w:val="ListParagraph"/>
        <w:numPr>
          <w:ilvl w:val="0"/>
          <w:numId w:val="2"/>
        </w:numPr>
        <w:spacing w:after="60" w:before="60" w:line="320"/>
      </w:pPr>
      <w:r>
        <w:rPr>
          <w:rFonts w:ascii="Calibri" w:cs="Calibri" w:eastAsia="Calibri" w:hAnsi="Calibri"/>
          <w:b/>
          <w:bCs/>
          <w:color w:val="2D3748"/>
          <w:sz w:val="22"/>
          <w:szCs w:val="22"/>
        </w:rPr>
        <w:t xml:space="preserve">Connect. </w:t>
      </w:r>
      <w:r>
        <w:rPr>
          <w:rFonts w:ascii="Calibri" w:cs="Calibri" w:eastAsia="Calibri" w:hAnsi="Calibri"/>
          <w:color w:val="4A5568"/>
          <w:sz w:val="22"/>
          <w:szCs w:val="22"/>
        </w:rPr>
        <w:t xml:space="preserve">Surface a verified business profile that procurement teams trust, match it against opportunities the supplier is genuinely positioned to win, and bring buyers, financiers, and capacity programmes into the same operating environment.</w:t>
      </w:r>
    </w:p>
    <w:p>
      <w:pPr>
        <w:pStyle w:val="ListParagraph"/>
        <w:numPr>
          <w:ilvl w:val="0"/>
          <w:numId w:val="2"/>
        </w:numPr>
        <w:spacing w:after="60" w:before="60" w:line="320"/>
      </w:pPr>
      <w:r>
        <w:rPr>
          <w:rFonts w:ascii="Calibri" w:cs="Calibri" w:eastAsia="Calibri" w:hAnsi="Calibri"/>
          <w:b/>
          <w:bCs/>
          <w:color w:val="2D3748"/>
          <w:sz w:val="22"/>
          <w:szCs w:val="22"/>
        </w:rPr>
        <w:t xml:space="preserve">Resource. </w:t>
      </w:r>
      <w:r>
        <w:rPr>
          <w:rFonts w:ascii="Calibri" w:cs="Calibri" w:eastAsia="Calibri" w:hAnsi="Calibri"/>
          <w:color w:val="4A5568"/>
          <w:sz w:val="22"/>
          <w:szCs w:val="22"/>
        </w:rPr>
        <w:t xml:space="preserve">Route the supplier to the working capital, capacity-building, and technical support needed to execute the matched opportunity. Finance and capability are treated as properties of the deal, available at the moment they are needed — not as separate journeys the supplier must navigate alone.</w:t>
      </w:r>
    </w:p>
    <w:p>
      <w:pPr>
        <w:pStyle w:val="ListParagraph"/>
        <w:numPr>
          <w:ilvl w:val="0"/>
          <w:numId w:val="2"/>
        </w:numPr>
        <w:spacing w:after="60" w:before="60" w:line="320"/>
      </w:pPr>
      <w:r>
        <w:rPr>
          <w:rFonts w:ascii="Calibri" w:cs="Calibri" w:eastAsia="Calibri" w:hAnsi="Calibri"/>
          <w:b/>
          <w:bCs/>
          <w:color w:val="2D3748"/>
          <w:sz w:val="22"/>
          <w:szCs w:val="22"/>
        </w:rPr>
        <w:t xml:space="preserve">Deliver. </w:t>
      </w:r>
      <w:r>
        <w:rPr>
          <w:rFonts w:ascii="Calibri" w:cs="Calibri" w:eastAsia="Calibri" w:hAnsi="Calibri"/>
          <w:color w:val="4A5568"/>
          <w:sz w:val="22"/>
          <w:szCs w:val="22"/>
        </w:rPr>
        <w:t xml:space="preserve">Track contract performance through to delivery and payment. Every milestone, every drawdown, and every completion is recorded — building the longitudinal performance data that compounds into a credit and reliability signal for the supplier and the ecosystem.</w:t>
      </w:r>
    </w:p>
    <w:p>
      <w:pPr>
        <w:spacing w:after="80" w:before="80" w:line="320"/>
        <w:jc w:val="both"/>
      </w:pPr>
      <w:r>
        <w:rPr>
          <w:rFonts w:ascii="Calibri" w:cs="Calibri" w:eastAsia="Calibri" w:hAnsi="Calibri"/>
          <w:color w:val="4A5568"/>
          <w:sz w:val="22"/>
          <w:szCs w:val="22"/>
        </w:rPr>
        <w:t xml:space="preserve">A supplier whose journey has not closed all three loops has not been served by the marketplace. This standard — Connect, Resource, Deliver — is the operational discipline against which WeDeliver measures its own performance.</w:t>
      </w:r>
    </w:p>
    <w:tbl>
      <w:tblPr>
        <w:tblW w:type="dxa" w:w="9360"/>
        <w:tblBorders>
          <w:top w:val="single" w:color="B8860B" w:sz="18"/>
          <w:left w:val="none" w:color="FFFFFF" w:sz="0"/>
          <w:bottom w:val="single" w:color="B8860B" w:sz="4"/>
          <w:right w:val="none" w:color="FFFFFF" w:sz="0"/>
          <w:insideH w:val="none" w:color="FFFFFF" w:sz="0"/>
          <w:insideV w:val="none" w:color="FFFFFF" w:sz="0"/>
        </w:tblBorders>
      </w:tblPr>
      <w:tblGrid>
        <w:gridCol w:w="9360"/>
      </w:tblGrid>
      <w:tr>
        <w:tc>
          <w:tcPr>
            <w:tcW w:type="dxa" w:w="9360"/>
            <w:shd w:fill="F5F0E6" w:val="clear"/>
            <w:tcMar>
              <w:top w:type="dxa" w:w="200"/>
              <w:left w:type="dxa" w:w="240"/>
              <w:bottom w:type="dxa" w:w="200"/>
              <w:right w:type="dxa" w:w="240"/>
            </w:tcMar>
          </w:tcPr>
          <w:p>
            <w:pPr>
              <w:spacing w:after="80"/>
            </w:pPr>
            <w:r>
              <w:rPr>
                <w:rFonts w:ascii="Calibri" w:cs="Calibri" w:eastAsia="Calibri" w:hAnsi="Calibri"/>
                <w:b/>
                <w:bCs/>
                <w:color w:val="1A2A44"/>
                <w:spacing w:val="50"/>
                <w:sz w:val="18"/>
                <w:szCs w:val="18"/>
              </w:rPr>
              <w:t xml:space="preserve">WHY THIS MATTERS</w:t>
            </w:r>
          </w:p>
          <w:p>
            <w:pPr>
              <w:spacing w:after="40" w:before="40" w:line="320"/>
            </w:pPr>
            <w:r>
              <w:rPr>
                <w:rFonts w:ascii="Calibri" w:cs="Calibri" w:eastAsia="Calibri" w:hAnsi="Calibri"/>
                <w:color w:val="2D3748"/>
                <w:sz w:val="22"/>
                <w:szCs w:val="22"/>
              </w:rPr>
              <w:t xml:space="preserve">Most women-supplier platforms succeed at the first loop and fail at the second and third. Suppliers are connected to opportunities they cannot finance, or financed for contracts whose delivery is never tracked. WeDeliver is built on the premise that all three loops must close for any of them to be meaningful — and that closing all three is the work of marketplace infrastructure, not the work of the supplier alone.</w:t>
            </w:r>
          </w:p>
        </w:tc>
      </w:tr>
    </w:tbl>
    <w:p>
      <w:pPr>
        <w:pStyle w:val="Heading2"/>
        <w:pBdr>
          <w:bottom w:val="single" w:color="B8860B" w:sz="8" w:space="4"/>
        </w:pBdr>
        <w:spacing w:after="120" w:before="260"/>
      </w:pPr>
      <w:r>
        <w:rPr>
          <w:rFonts w:ascii="Georgia" w:cs="Georgia" w:eastAsia="Georgia" w:hAnsi="Georgia"/>
          <w:b/>
          <w:bCs/>
          <w:color w:val="1A2A44"/>
          <w:sz w:val="28"/>
          <w:szCs w:val="28"/>
        </w:rPr>
        <w:t xml:space="preserve">The three intelligent components</w:t>
      </w:r>
    </w:p>
    <w:p>
      <w:pPr>
        <w:spacing w:after="80" w:before="80" w:line="320"/>
        <w:jc w:val="both"/>
      </w:pPr>
      <w:r>
        <w:rPr>
          <w:rFonts w:ascii="Calibri" w:cs="Calibri" w:eastAsia="Calibri" w:hAnsi="Calibri"/>
          <w:color w:val="4A5568"/>
          <w:sz w:val="22"/>
          <w:szCs w:val="22"/>
        </w:rPr>
        <w:t xml:space="preserve">WeDeliver's substance — what differentiates it from a directory or a tender board — sits in three intelligent components that automate the work that has historically prevented equal sourcing from operating at scale.</w:t>
      </w:r>
    </w:p>
    <w:p>
      <w:pPr>
        <w:spacing w:after="0" w:before="80"/>
      </w:pPr>
    </w:p>
    <w:p>
      <w:pPr>
        <w:pStyle w:val="Heading3"/>
        <w:spacing w:after="80" w:before="200"/>
      </w:pPr>
      <w:r>
        <w:rPr>
          <w:rFonts w:ascii="Georgia" w:cs="Georgia" w:eastAsia="Georgia" w:hAnsi="Georgia"/>
          <w:b/>
          <w:bCs/>
          <w:color w:val="1A2A44"/>
          <w:sz w:val="24"/>
          <w:szCs w:val="24"/>
        </w:rPr>
        <w:t xml:space="preserve">3.1  The Profile Manager</w:t>
      </w:r>
    </w:p>
    <w:p>
      <w:pPr>
        <w:spacing w:after="80" w:before="80" w:line="320"/>
        <w:jc w:val="both"/>
      </w:pPr>
      <w:r>
        <w:rPr>
          <w:rFonts w:ascii="Calibri" w:cs="Calibri" w:eastAsia="Calibri" w:hAnsi="Calibri"/>
          <w:color w:val="4A5568"/>
          <w:sz w:val="22"/>
          <w:szCs w:val="22"/>
        </w:rPr>
        <w:t xml:space="preserve">The profile manager is the marketplace's data and verification spine. It maintains four interlinked profile types:</w:t>
      </w:r>
    </w:p>
    <w:p>
      <w:pPr>
        <w:pStyle w:val="ListParagraph"/>
        <w:numPr>
          <w:ilvl w:val="0"/>
          <w:numId w:val="2"/>
        </w:numPr>
        <w:spacing w:after="60" w:before="60" w:line="320"/>
      </w:pPr>
      <w:r>
        <w:rPr>
          <w:rFonts w:ascii="Calibri" w:cs="Calibri" w:eastAsia="Calibri" w:hAnsi="Calibri"/>
          <w:b/>
          <w:bCs/>
          <w:color w:val="2D3748"/>
          <w:sz w:val="22"/>
          <w:szCs w:val="22"/>
        </w:rPr>
        <w:t xml:space="preserve">Supplier profile. </w:t>
      </w:r>
      <w:r>
        <w:rPr>
          <w:rFonts w:ascii="Calibri" w:cs="Calibri" w:eastAsia="Calibri" w:hAnsi="Calibri"/>
          <w:color w:val="4A5568"/>
          <w:sz w:val="22"/>
          <w:szCs w:val="22"/>
        </w:rPr>
        <w:t xml:space="preserve">Verified business identity, beneficial ownership, sector capability, certifications, prior contract history, delivery performance, and capacity indicators. Verification routes are buyer-anchor (existing suppliers vouched for by their corporate buyer), programme-graduate (suppliers who have completed IFC Sourcing2Equal, UN Women, or equivalent capacity programmes), or registry-validated (cross-checked against KRA, BRS, and certifying bodies).</w:t>
      </w:r>
    </w:p>
    <w:p>
      <w:pPr>
        <w:pStyle w:val="ListParagraph"/>
        <w:numPr>
          <w:ilvl w:val="0"/>
          <w:numId w:val="2"/>
        </w:numPr>
        <w:spacing w:after="60" w:before="60" w:line="320"/>
      </w:pPr>
      <w:r>
        <w:rPr>
          <w:rFonts w:ascii="Calibri" w:cs="Calibri" w:eastAsia="Calibri" w:hAnsi="Calibri"/>
          <w:b/>
          <w:bCs/>
          <w:color w:val="2D3748"/>
          <w:sz w:val="22"/>
          <w:szCs w:val="22"/>
        </w:rPr>
        <w:t xml:space="preserve">Financier profile. </w:t>
      </w:r>
      <w:r>
        <w:rPr>
          <w:rFonts w:ascii="Calibri" w:cs="Calibri" w:eastAsia="Calibri" w:hAnsi="Calibri"/>
          <w:color w:val="4A5568"/>
          <w:sz w:val="22"/>
          <w:szCs w:val="22"/>
        </w:rPr>
        <w:t xml:space="preserve">Banks, DFIs, alternative lenders, invoice-discounting providers, and trade finance institutions. Each financier carries its product set, eligibility criteria, ticket-size ranges, sector preferences, and turnaround indicators. The profile is what makes deal-financier matching possible at scale.</w:t>
      </w:r>
    </w:p>
    <w:p>
      <w:pPr>
        <w:pStyle w:val="ListParagraph"/>
        <w:numPr>
          <w:ilvl w:val="0"/>
          <w:numId w:val="2"/>
        </w:numPr>
        <w:spacing w:after="60" w:before="60" w:line="320"/>
      </w:pPr>
      <w:r>
        <w:rPr>
          <w:rFonts w:ascii="Calibri" w:cs="Calibri" w:eastAsia="Calibri" w:hAnsi="Calibri"/>
          <w:b/>
          <w:bCs/>
          <w:color w:val="2D3748"/>
          <w:sz w:val="22"/>
          <w:szCs w:val="22"/>
        </w:rPr>
        <w:t xml:space="preserve">Deal profile. </w:t>
      </w:r>
      <w:r>
        <w:rPr>
          <w:rFonts w:ascii="Calibri" w:cs="Calibri" w:eastAsia="Calibri" w:hAnsi="Calibri"/>
          <w:color w:val="4A5568"/>
          <w:sz w:val="22"/>
          <w:szCs w:val="22"/>
        </w:rPr>
        <w:t xml:space="preserve">Live and historical procurement opportunities. Each deal carries scope, value, delivery requirements, supplier eligibility filters, and the buyer's stated supplier diversity preferences. Deals link to the suppliers matched against them and the contracts ultimately awarded.</w:t>
      </w:r>
    </w:p>
    <w:p>
      <w:pPr>
        <w:pStyle w:val="ListParagraph"/>
        <w:numPr>
          <w:ilvl w:val="0"/>
          <w:numId w:val="2"/>
        </w:numPr>
        <w:spacing w:after="60" w:before="60" w:line="320"/>
      </w:pPr>
      <w:r>
        <w:rPr>
          <w:rFonts w:ascii="Calibri" w:cs="Calibri" w:eastAsia="Calibri" w:hAnsi="Calibri"/>
          <w:b/>
          <w:bCs/>
          <w:color w:val="2D3748"/>
          <w:sz w:val="22"/>
          <w:szCs w:val="22"/>
        </w:rPr>
        <w:t xml:space="preserve">Financing solution profile. </w:t>
      </w:r>
      <w:r>
        <w:rPr>
          <w:rFonts w:ascii="Calibri" w:cs="Calibri" w:eastAsia="Calibri" w:hAnsi="Calibri"/>
          <w:color w:val="4A5568"/>
          <w:sz w:val="22"/>
          <w:szCs w:val="22"/>
        </w:rPr>
        <w:t xml:space="preserve">Structured representations of working capital lines, invoice discounting facilities, asset finance products, and trade finance instruments. Each solution is described in standardised terms that allow the platform to match it to deal characteristics and supplier profiles.</w:t>
      </w:r>
    </w:p>
    <w:p>
      <w:pPr>
        <w:spacing w:after="80" w:before="80" w:line="320"/>
        <w:jc w:val="both"/>
      </w:pPr>
      <w:r>
        <w:rPr>
          <w:rFonts w:ascii="Calibri" w:cs="Calibri" w:eastAsia="Calibri" w:hAnsi="Calibri"/>
          <w:color w:val="4A5568"/>
          <w:sz w:val="22"/>
          <w:szCs w:val="22"/>
        </w:rPr>
        <w:t xml:space="preserve">Together, these four profile types form the data substrate that the other two components operate on. Profile quality is not a feature of the marketplace — it is the marketplace.</w:t>
      </w:r>
    </w:p>
    <w:p>
      <w:pPr>
        <w:spacing w:after="0" w:before="80"/>
      </w:pPr>
    </w:p>
    <w:p>
      <w:pPr>
        <w:pStyle w:val="Heading3"/>
        <w:spacing w:after="80" w:before="200"/>
      </w:pPr>
      <w:r>
        <w:rPr>
          <w:rFonts w:ascii="Georgia" w:cs="Georgia" w:eastAsia="Georgia" w:hAnsi="Georgia"/>
          <w:b/>
          <w:bCs/>
          <w:color w:val="1A2A44"/>
          <w:sz w:val="24"/>
          <w:szCs w:val="24"/>
        </w:rPr>
        <w:t xml:space="preserve">3.2  The Connecting Agent</w:t>
      </w:r>
    </w:p>
    <w:p>
      <w:pPr>
        <w:spacing w:after="80" w:before="80" w:line="320"/>
        <w:jc w:val="both"/>
      </w:pPr>
      <w:r>
        <w:rPr>
          <w:rFonts w:ascii="Calibri" w:cs="Calibri" w:eastAsia="Calibri" w:hAnsi="Calibri"/>
          <w:color w:val="4A5568"/>
          <w:sz w:val="22"/>
          <w:szCs w:val="22"/>
        </w:rPr>
        <w:t xml:space="preserve">The connecting agent is the marketplace's matching intelligence. Where a conventional platform requires users to search and filter, the connecting agent operates proactively across two matching surfaces.</w:t>
      </w:r>
    </w:p>
    <w:p>
      <w:pPr>
        <w:pStyle w:val="ListParagraph"/>
        <w:numPr>
          <w:ilvl w:val="0"/>
          <w:numId w:val="2"/>
        </w:numPr>
        <w:spacing w:after="60" w:before="60" w:line="320"/>
      </w:pPr>
      <w:r>
        <w:rPr>
          <w:rFonts w:ascii="Calibri" w:cs="Calibri" w:eastAsia="Calibri" w:hAnsi="Calibri"/>
          <w:b/>
          <w:bCs/>
          <w:color w:val="2D3748"/>
          <w:sz w:val="22"/>
          <w:szCs w:val="22"/>
        </w:rPr>
        <w:t xml:space="preserve">Supplier–opportunity matching. </w:t>
      </w:r>
      <w:r>
        <w:rPr>
          <w:rFonts w:ascii="Calibri" w:cs="Calibri" w:eastAsia="Calibri" w:hAnsi="Calibri"/>
          <w:color w:val="4A5568"/>
          <w:sz w:val="22"/>
          <w:szCs w:val="22"/>
        </w:rPr>
        <w:t xml:space="preserve">When a buyer posts a tender or RFI, the connecting agent identifies the verified suppliers most likely to qualify and deliver, ranked by sector capability, capacity, prior performance, and proximity to the deal's specific requirements. Suppliers are notified; buyers see a curated shortlist rather than an open directory.</w:t>
      </w:r>
    </w:p>
    <w:p>
      <w:pPr>
        <w:pStyle w:val="ListParagraph"/>
        <w:numPr>
          <w:ilvl w:val="0"/>
          <w:numId w:val="2"/>
        </w:numPr>
        <w:spacing w:after="60" w:before="60" w:line="320"/>
      </w:pPr>
      <w:r>
        <w:rPr>
          <w:rFonts w:ascii="Calibri" w:cs="Calibri" w:eastAsia="Calibri" w:hAnsi="Calibri"/>
          <w:b/>
          <w:bCs/>
          <w:color w:val="2D3748"/>
          <w:sz w:val="22"/>
          <w:szCs w:val="22"/>
        </w:rPr>
        <w:t xml:space="preserve">Deal–financier matching. </w:t>
      </w:r>
      <w:r>
        <w:rPr>
          <w:rFonts w:ascii="Calibri" w:cs="Calibri" w:eastAsia="Calibri" w:hAnsi="Calibri"/>
          <w:color w:val="4A5568"/>
          <w:sz w:val="22"/>
          <w:szCs w:val="22"/>
        </w:rPr>
        <w:t xml:space="preserve">When a supplier wins a tender, the connecting agent identifies which financiers in the network have the right product, ticket size, sector appetite, and turnaround for that specific deal. The supplier is connected to a small set of financiers most likely to close — not pushed into a generic application portal.</w:t>
      </w:r>
    </w:p>
    <w:p>
      <w:pPr>
        <w:spacing w:after="80" w:before="80" w:line="320"/>
        <w:jc w:val="both"/>
      </w:pPr>
      <w:r>
        <w:rPr>
          <w:rFonts w:ascii="Calibri" w:cs="Calibri" w:eastAsia="Calibri" w:hAnsi="Calibri"/>
          <w:color w:val="4A5568"/>
          <w:sz w:val="22"/>
          <w:szCs w:val="22"/>
        </w:rPr>
        <w:t xml:space="preserve">The connecting agent learns. Each completed match — successful or unsuccessful — adjusts the matching weights, so over time the marketplace becomes more accurate at predicting which supplier will deliver and which financier will close.</w:t>
      </w:r>
    </w:p>
    <w:p>
      <w:pPr>
        <w:spacing w:after="0" w:before="80"/>
      </w:pPr>
    </w:p>
    <w:p>
      <w:pPr>
        <w:pStyle w:val="Heading3"/>
        <w:spacing w:after="80" w:before="200"/>
      </w:pPr>
      <w:r>
        <w:rPr>
          <w:rFonts w:ascii="Georgia" w:cs="Georgia" w:eastAsia="Georgia" w:hAnsi="Georgia"/>
          <w:b/>
          <w:bCs/>
          <w:color w:val="1A2A44"/>
          <w:sz w:val="24"/>
          <w:szCs w:val="24"/>
        </w:rPr>
        <w:t xml:space="preserve">3.3  The Solution Design Agent</w:t>
      </w:r>
    </w:p>
    <w:p>
      <w:pPr>
        <w:spacing w:after="80" w:before="80" w:line="320"/>
        <w:jc w:val="both"/>
      </w:pPr>
      <w:r>
        <w:rPr>
          <w:rFonts w:ascii="Calibri" w:cs="Calibri" w:eastAsia="Calibri" w:hAnsi="Calibri"/>
          <w:color w:val="4A5568"/>
          <w:sz w:val="22"/>
          <w:szCs w:val="22"/>
        </w:rPr>
        <w:t xml:space="preserve">The solution design agent is the marketplace's deal-structuring intelligence. It addresses the most common failure point in supplier diversity: a contract is awarded but the supplier cannot execute because the financing structure is wrong for the deal.</w:t>
      </w:r>
    </w:p>
    <w:p>
      <w:pPr>
        <w:spacing w:after="80" w:before="80" w:line="320"/>
        <w:jc w:val="both"/>
      </w:pPr>
      <w:r>
        <w:rPr>
          <w:rFonts w:ascii="Calibri" w:cs="Calibri" w:eastAsia="Calibri" w:hAnsi="Calibri"/>
          <w:color w:val="4A5568"/>
          <w:sz w:val="22"/>
          <w:szCs w:val="22"/>
        </w:rPr>
        <w:t xml:space="preserve">When a deal is matched, the solution design agent assembles a candidate financing structure tailored to the deal's cashflow profile, the supplier's capacity, and the financier's product set. This may combine an LPO finance line with invoice discounting, or pair asset finance with a working capital overdraft, or stage drawdowns against contract milestones. The structure is not a recommendation in the abstract — it is a deal-specific design that the supplier can take to the financier with the platform's matching attached.</w:t>
      </w:r>
    </w:p>
    <w:p>
      <w:pPr>
        <w:spacing w:after="80" w:before="80" w:line="320"/>
        <w:jc w:val="both"/>
      </w:pPr>
      <w:r>
        <w:rPr>
          <w:rFonts w:ascii="Calibri" w:cs="Calibri" w:eastAsia="Calibri" w:hAnsi="Calibri"/>
          <w:color w:val="4A5568"/>
          <w:sz w:val="22"/>
          <w:szCs w:val="22"/>
        </w:rPr>
        <w:t xml:space="preserve">The solution design agent is what turns the marketplace from a connection layer into a transaction layer. Without it, women-owned businesses would still face the most difficult conversation in commerce: how to convince a financier that a deal they have just won is bankable. With it, that conversation begins with a structured proposal.</w:t>
      </w:r>
    </w:p>
    <w:tbl>
      <w:tblPr>
        <w:tblW w:type="dxa" w:w="9360"/>
        <w:tblBorders>
          <w:top w:val="single" w:color="B8860B" w:sz="18"/>
          <w:left w:val="none" w:color="FFFFFF" w:sz="0"/>
          <w:bottom w:val="single" w:color="B8860B" w:sz="4"/>
          <w:right w:val="none" w:color="FFFFFF" w:sz="0"/>
          <w:insideH w:val="none" w:color="FFFFFF" w:sz="0"/>
          <w:insideV w:val="none" w:color="FFFFFF" w:sz="0"/>
        </w:tblBorders>
      </w:tblPr>
      <w:tblGrid>
        <w:gridCol w:w="9360"/>
      </w:tblGrid>
      <w:tr>
        <w:tc>
          <w:tcPr>
            <w:tcW w:type="dxa" w:w="9360"/>
            <w:shd w:fill="F5F0E6" w:val="clear"/>
            <w:tcMar>
              <w:top w:type="dxa" w:w="200"/>
              <w:left w:type="dxa" w:w="240"/>
              <w:bottom w:type="dxa" w:w="200"/>
              <w:right w:type="dxa" w:w="240"/>
            </w:tcMar>
          </w:tcPr>
          <w:p>
            <w:pPr>
              <w:spacing w:after="80"/>
            </w:pPr>
            <w:r>
              <w:rPr>
                <w:rFonts w:ascii="Calibri" w:cs="Calibri" w:eastAsia="Calibri" w:hAnsi="Calibri"/>
                <w:b/>
                <w:bCs/>
                <w:color w:val="1A2A44"/>
                <w:spacing w:val="50"/>
                <w:sz w:val="18"/>
                <w:szCs w:val="18"/>
              </w:rPr>
              <w:t xml:space="preserve">ARCHITECTURE INFERENCE</w:t>
            </w:r>
          </w:p>
          <w:p>
            <w:pPr>
              <w:spacing w:after="40" w:before="40" w:line="320"/>
            </w:pPr>
            <w:r>
              <w:rPr>
                <w:rFonts w:ascii="Calibri" w:cs="Calibri" w:eastAsia="Calibri" w:hAnsi="Calibri"/>
                <w:color w:val="2D3748"/>
                <w:sz w:val="22"/>
                <w:szCs w:val="22"/>
              </w:rPr>
              <w:t xml:space="preserve">The three components are described here based on their functional purpose. The technical architecture — agent autonomy, model selection, training data, audit logging — is documented separately by Sinasa Ltd in the Technology Partnership Specification. This concept note treats the components at the level of capability, not implementation.</w:t>
            </w:r>
          </w:p>
        </w:tc>
      </w:tr>
    </w:tbl>
    <w:p>
      <w:r>
        <w:br w:type="page"/>
      </w:r>
    </w:p>
    <w:p>
      <w:pPr>
        <w:spacing w:after="40" w:before="240"/>
      </w:pPr>
      <w:r>
        <w:rPr>
          <w:rFonts w:ascii="Calibri" w:cs="Calibri" w:eastAsia="Calibri" w:hAnsi="Calibri"/>
          <w:b/>
          <w:bCs/>
          <w:color w:val="B8860B"/>
          <w:spacing w:val="60"/>
          <w:sz w:val="18"/>
          <w:szCs w:val="18"/>
        </w:rPr>
        <w:t xml:space="preserve">§ 4</w:t>
      </w:r>
    </w:p>
    <w:p>
      <w:pPr>
        <w:pStyle w:val="Heading1"/>
        <w:spacing w:after="180" w:before="200"/>
      </w:pPr>
      <w:r>
        <w:rPr>
          <w:rFonts w:ascii="Georgia" w:cs="Georgia" w:eastAsia="Georgia" w:hAnsi="Georgia"/>
          <w:b/>
          <w:bCs/>
          <w:color w:val="1A2A44"/>
          <w:sz w:val="36"/>
          <w:szCs w:val="36"/>
        </w:rPr>
        <w:t xml:space="preserve">Methodology: How the Marketplace Works</w:t>
      </w:r>
    </w:p>
    <w:p>
      <w:pPr>
        <w:spacing w:after="180" w:before="120" w:line="340"/>
        <w:jc w:val="both"/>
      </w:pPr>
      <w:r>
        <w:rPr>
          <w:rFonts w:ascii="Calibri" w:cs="Calibri" w:eastAsia="Calibri" w:hAnsi="Calibri"/>
          <w:i/>
          <w:iCs/>
          <w:color w:val="2D3748"/>
          <w:sz w:val="24"/>
          <w:szCs w:val="24"/>
        </w:rPr>
        <w:t xml:space="preserve">Marketplace mechanics matter as much as marketplace components. Four operating principles govern how the platform behaves day to day.</w:t>
      </w:r>
    </w:p>
    <w:p>
      <w:pPr>
        <w:pStyle w:val="Heading2"/>
        <w:pBdr>
          <w:bottom w:val="single" w:color="B8860B" w:sz="8" w:space="4"/>
        </w:pBdr>
        <w:spacing w:after="120" w:before="260"/>
      </w:pPr>
      <w:r>
        <w:rPr>
          <w:rFonts w:ascii="Georgia" w:cs="Georgia" w:eastAsia="Georgia" w:hAnsi="Georgia"/>
          <w:b/>
          <w:bCs/>
          <w:color w:val="1A2A44"/>
          <w:sz w:val="28"/>
          <w:szCs w:val="28"/>
        </w:rPr>
        <w:t xml:space="preserve">4.1  Verification before visibility</w:t>
      </w:r>
    </w:p>
    <w:p>
      <w:pPr>
        <w:spacing w:after="80" w:before="80" w:line="320"/>
        <w:jc w:val="both"/>
      </w:pPr>
      <w:r>
        <w:rPr>
          <w:rFonts w:ascii="Calibri" w:cs="Calibri" w:eastAsia="Calibri" w:hAnsi="Calibri"/>
          <w:color w:val="4A5568"/>
          <w:sz w:val="22"/>
          <w:szCs w:val="22"/>
        </w:rPr>
        <w:t xml:space="preserve">No supplier appears in matching surfaces until verified. Verification is performed by ICC-Kenya in partnership with anchor buyers and capacity programmes; Sinasa as technology partner provides the platform infrastructure that makes the process auditable. This single rule — verification before visibility — is what gives the marketplace defensibility from procurement audit through to ESG disclosure.</w:t>
      </w:r>
    </w:p>
    <w:p>
      <w:pPr>
        <w:pStyle w:val="Heading2"/>
        <w:pBdr>
          <w:bottom w:val="single" w:color="B8860B" w:sz="8" w:space="4"/>
        </w:pBdr>
        <w:spacing w:after="120" w:before="260"/>
      </w:pPr>
      <w:r>
        <w:rPr>
          <w:rFonts w:ascii="Georgia" w:cs="Georgia" w:eastAsia="Georgia" w:hAnsi="Georgia"/>
          <w:b/>
          <w:bCs/>
          <w:color w:val="1A2A44"/>
          <w:sz w:val="28"/>
          <w:szCs w:val="28"/>
        </w:rPr>
        <w:t xml:space="preserve">4.2  Buyer-side enforcement, not supplier-side persuasion</w:t>
      </w:r>
    </w:p>
    <w:p>
      <w:pPr>
        <w:spacing w:after="80" w:before="80" w:line="320"/>
        <w:jc w:val="both"/>
      </w:pPr>
      <w:r>
        <w:rPr>
          <w:rFonts w:ascii="Calibri" w:cs="Calibri" w:eastAsia="Calibri" w:hAnsi="Calibri"/>
          <w:color w:val="4A5568"/>
          <w:sz w:val="22"/>
          <w:szCs w:val="22"/>
        </w:rPr>
        <w:t xml:space="preserve">The platform's adoption strategy works on the buyer side. Listed corporates, large private buyers, and public-sector procurement enter the marketplace because doing so produces measurable, disclosure-quality reporting on their supplier diversity performance — reporting they would otherwise have to assemble manually. Suppliers follow naturally because the buyers are there. This inverts the usual order of platform adoption and is the reason the marketplace can scale past the threshold where directories typically stall.</w:t>
      </w:r>
    </w:p>
    <w:p>
      <w:pPr>
        <w:pStyle w:val="Heading2"/>
        <w:pBdr>
          <w:bottom w:val="single" w:color="B8860B" w:sz="8" w:space="4"/>
        </w:pBdr>
        <w:spacing w:after="120" w:before="260"/>
      </w:pPr>
      <w:r>
        <w:rPr>
          <w:rFonts w:ascii="Georgia" w:cs="Georgia" w:eastAsia="Georgia" w:hAnsi="Georgia"/>
          <w:b/>
          <w:bCs/>
          <w:color w:val="1A2A44"/>
          <w:sz w:val="28"/>
          <w:szCs w:val="28"/>
        </w:rPr>
        <w:t xml:space="preserve">4.3  Finance embedded, not adjacent</w:t>
      </w:r>
    </w:p>
    <w:p>
      <w:pPr>
        <w:spacing w:after="80" w:before="80" w:line="320"/>
        <w:jc w:val="both"/>
      </w:pPr>
      <w:r>
        <w:rPr>
          <w:rFonts w:ascii="Calibri" w:cs="Calibri" w:eastAsia="Calibri" w:hAnsi="Calibri"/>
          <w:color w:val="4A5568"/>
          <w:sz w:val="22"/>
          <w:szCs w:val="22"/>
        </w:rPr>
        <w:t xml:space="preserve">Every matched opportunity carries a candidate financing solution from the moment of match. Suppliers are not asked to win a contract first and find financing second. The marketplace treats finance as a property of the deal, not as a separate journey. This is what allows the platform to track contract execution end-to-end and produce the longitudinal performance data that compounds into a credit signal.</w:t>
      </w:r>
    </w:p>
    <w:p>
      <w:pPr>
        <w:pStyle w:val="Heading2"/>
        <w:pBdr>
          <w:bottom w:val="single" w:color="B8860B" w:sz="8" w:space="4"/>
        </w:pBdr>
        <w:spacing w:after="120" w:before="260"/>
      </w:pPr>
      <w:r>
        <w:rPr>
          <w:rFonts w:ascii="Georgia" w:cs="Georgia" w:eastAsia="Georgia" w:hAnsi="Georgia"/>
          <w:b/>
          <w:bCs/>
          <w:color w:val="1A2A44"/>
          <w:sz w:val="28"/>
          <w:szCs w:val="28"/>
        </w:rPr>
        <w:t xml:space="preserve">4.4  Performance recorded, not assumed</w:t>
      </w:r>
    </w:p>
    <w:p>
      <w:pPr>
        <w:spacing w:after="80" w:before="80" w:line="320"/>
        <w:jc w:val="both"/>
      </w:pPr>
      <w:r>
        <w:rPr>
          <w:rFonts w:ascii="Calibri" w:cs="Calibri" w:eastAsia="Calibri" w:hAnsi="Calibri"/>
          <w:color w:val="4A5568"/>
          <w:sz w:val="22"/>
          <w:szCs w:val="22"/>
        </w:rPr>
        <w:t xml:space="preserve">Every contract awarded through the marketplace carries milestone updates. Suppliers report delivery progress; buyers confirm; financiers see drawdown against performance. This data — initially used to track contract delivery — accumulates into the most valuable asset the marketplace produces: a verified, longitudinal record of women-owned supplier performance across sectors, deal sizes, and financing structures. Over time, this dataset becomes the credit and reliability infrastructure that an entire ecosystem can build on.</w:t>
      </w:r>
    </w:p>
    <w:p>
      <w:r>
        <w:br w:type="page"/>
      </w:r>
    </w:p>
    <w:p>
      <w:pPr>
        <w:spacing w:after="40" w:before="240"/>
      </w:pPr>
      <w:r>
        <w:rPr>
          <w:rFonts w:ascii="Calibri" w:cs="Calibri" w:eastAsia="Calibri" w:hAnsi="Calibri"/>
          <w:b/>
          <w:bCs/>
          <w:color w:val="B8860B"/>
          <w:spacing w:val="60"/>
          <w:sz w:val="18"/>
          <w:szCs w:val="18"/>
        </w:rPr>
        <w:t xml:space="preserve">§ 5</w:t>
      </w:r>
    </w:p>
    <w:p>
      <w:pPr>
        <w:pStyle w:val="Heading1"/>
        <w:spacing w:after="180" w:before="200"/>
      </w:pPr>
      <w:r>
        <w:rPr>
          <w:rFonts w:ascii="Georgia" w:cs="Georgia" w:eastAsia="Georgia" w:hAnsi="Georgia"/>
          <w:b/>
          <w:bCs/>
          <w:color w:val="1A2A44"/>
          <w:sz w:val="36"/>
          <w:szCs w:val="36"/>
        </w:rPr>
        <w:t xml:space="preserve">What Is Different</w:t>
      </w:r>
    </w:p>
    <w:p>
      <w:pPr>
        <w:spacing w:after="180" w:before="120" w:line="340"/>
        <w:jc w:val="both"/>
      </w:pPr>
      <w:r>
        <w:rPr>
          <w:rFonts w:ascii="Calibri" w:cs="Calibri" w:eastAsia="Calibri" w:hAnsi="Calibri"/>
          <w:i/>
          <w:iCs/>
          <w:color w:val="2D3748"/>
          <w:sz w:val="24"/>
          <w:szCs w:val="24"/>
        </w:rPr>
        <w:t xml:space="preserve">Five structural differences separate WeDeliver from prior attempts at women-supplier platforms in Africa and globally.</w:t>
      </w:r>
    </w:p>
    <w:p>
      <w:pPr>
        <w:spacing w:after="0" w:before="120"/>
      </w:pPr>
    </w:p>
    <w:p>
      <w:pPr>
        <w:pStyle w:val="ListParagraph"/>
        <w:numPr>
          <w:ilvl w:val="0"/>
          <w:numId w:val="3"/>
        </w:numPr>
        <w:spacing w:after="60" w:before="60" w:line="320"/>
      </w:pPr>
      <w:r>
        <w:rPr>
          <w:rFonts w:ascii="Calibri" w:cs="Calibri" w:eastAsia="Calibri" w:hAnsi="Calibri"/>
          <w:b/>
          <w:bCs/>
          <w:color w:val="2D3748"/>
          <w:sz w:val="22"/>
          <w:szCs w:val="22"/>
        </w:rPr>
        <w:t xml:space="preserve">1.  Verification model. </w:t>
      </w:r>
      <w:r>
        <w:rPr>
          <w:rFonts w:ascii="Calibri" w:cs="Calibri" w:eastAsia="Calibri" w:hAnsi="Calibri"/>
          <w:color w:val="4A5568"/>
          <w:sz w:val="22"/>
          <w:szCs w:val="22"/>
        </w:rPr>
        <w:t xml:space="preserve">Verification is buyer-anchored or programme-graduated, never self-attested alone. This single design choice eliminates the trust collapse that has killed every directory-style platform.</w:t>
      </w:r>
    </w:p>
    <w:p>
      <w:pPr>
        <w:pStyle w:val="ListParagraph"/>
        <w:numPr>
          <w:ilvl w:val="0"/>
          <w:numId w:val="3"/>
        </w:numPr>
        <w:spacing w:after="60" w:before="60" w:line="320"/>
      </w:pPr>
      <w:r>
        <w:rPr>
          <w:rFonts w:ascii="Calibri" w:cs="Calibri" w:eastAsia="Calibri" w:hAnsi="Calibri"/>
          <w:b/>
          <w:bCs/>
          <w:color w:val="2D3748"/>
          <w:sz w:val="22"/>
          <w:szCs w:val="22"/>
        </w:rPr>
        <w:t xml:space="preserve">2.  Disclosure leverage. </w:t>
      </w:r>
      <w:r>
        <w:rPr>
          <w:rFonts w:ascii="Calibri" w:cs="Calibri" w:eastAsia="Calibri" w:hAnsi="Calibri"/>
          <w:color w:val="4A5568"/>
          <w:sz w:val="22"/>
          <w:szCs w:val="22"/>
        </w:rPr>
        <w:t xml:space="preserve">The Nairobi Securities Exchange ESG Disclosures framework provides a credible pathway to disclosure-linked adoption. Listed companies that engage the marketplace produce defensible supplier diversity data; those that do not, increasingly cannot.</w:t>
      </w:r>
    </w:p>
    <w:p>
      <w:pPr>
        <w:pStyle w:val="ListParagraph"/>
        <w:numPr>
          <w:ilvl w:val="0"/>
          <w:numId w:val="3"/>
        </w:numPr>
        <w:spacing w:after="60" w:before="60" w:line="320"/>
      </w:pPr>
      <w:r>
        <w:rPr>
          <w:rFonts w:ascii="Calibri" w:cs="Calibri" w:eastAsia="Calibri" w:hAnsi="Calibri"/>
          <w:b/>
          <w:bCs/>
          <w:color w:val="2D3748"/>
          <w:sz w:val="22"/>
          <w:szCs w:val="22"/>
        </w:rPr>
        <w:t xml:space="preserve">3.  Embedded intelligence. </w:t>
      </w:r>
      <w:r>
        <w:rPr>
          <w:rFonts w:ascii="Calibri" w:cs="Calibri" w:eastAsia="Calibri" w:hAnsi="Calibri"/>
          <w:color w:val="4A5568"/>
          <w:sz w:val="22"/>
          <w:szCs w:val="22"/>
        </w:rPr>
        <w:t xml:space="preserve">The connecting agent and solution design agent automate work that has historically been manual, fragmented across institutions, and prone to drop-off. Matching and deal structuring at marketplace scale is a function only intelligent components can perform.</w:t>
      </w:r>
    </w:p>
    <w:p>
      <w:pPr>
        <w:pStyle w:val="ListParagraph"/>
        <w:numPr>
          <w:ilvl w:val="0"/>
          <w:numId w:val="3"/>
        </w:numPr>
        <w:spacing w:after="60" w:before="60" w:line="320"/>
      </w:pPr>
      <w:r>
        <w:rPr>
          <w:rFonts w:ascii="Calibri" w:cs="Calibri" w:eastAsia="Calibri" w:hAnsi="Calibri"/>
          <w:b/>
          <w:bCs/>
          <w:color w:val="2D3748"/>
          <w:sz w:val="22"/>
          <w:szCs w:val="22"/>
        </w:rPr>
        <w:t xml:space="preserve">4.  Institutional + technology partnership. </w:t>
      </w:r>
      <w:r>
        <w:rPr>
          <w:rFonts w:ascii="Calibri" w:cs="Calibri" w:eastAsia="Calibri" w:hAnsi="Calibri"/>
          <w:color w:val="4A5568"/>
          <w:sz w:val="22"/>
          <w:szCs w:val="22"/>
        </w:rPr>
        <w:t xml:space="preserve">ICC-Kenya hosts; Sinasa builds and operates. Neither party tries to do the other's work. This is the architecture that has made successful institutional platforms work elsewhere — clear separation of mission ownership and technology accountability.</w:t>
      </w:r>
    </w:p>
    <w:p>
      <w:pPr>
        <w:pStyle w:val="ListParagraph"/>
        <w:numPr>
          <w:ilvl w:val="0"/>
          <w:numId w:val="3"/>
        </w:numPr>
        <w:spacing w:after="60" w:before="60" w:line="320"/>
      </w:pPr>
      <w:r>
        <w:rPr>
          <w:rFonts w:ascii="Calibri" w:cs="Calibri" w:eastAsia="Calibri" w:hAnsi="Calibri"/>
          <w:b/>
          <w:bCs/>
          <w:color w:val="2D3748"/>
          <w:sz w:val="22"/>
          <w:szCs w:val="22"/>
        </w:rPr>
        <w:t xml:space="preserve">5.  Free for the supplier side. </w:t>
      </w:r>
      <w:r>
        <w:rPr>
          <w:rFonts w:ascii="Calibri" w:cs="Calibri" w:eastAsia="Calibri" w:hAnsi="Calibri"/>
          <w:color w:val="4A5568"/>
          <w:sz w:val="22"/>
          <w:szCs w:val="22"/>
        </w:rPr>
        <w:t xml:space="preserve">Platform access for suppliers is free. Revenue derives from corporate membership, financier referrals on closed transactions, and capacity programme pass-through. The economics protect the side most vulnerable to extraction.</w:t>
      </w:r>
    </w:p>
    <w:p>
      <w:r>
        <w:br w:type="page"/>
      </w:r>
    </w:p>
    <w:p>
      <w:pPr>
        <w:spacing w:after="40" w:before="240"/>
      </w:pPr>
      <w:r>
        <w:rPr>
          <w:rFonts w:ascii="Calibri" w:cs="Calibri" w:eastAsia="Calibri" w:hAnsi="Calibri"/>
          <w:b/>
          <w:bCs/>
          <w:color w:val="B8860B"/>
          <w:spacing w:val="60"/>
          <w:sz w:val="18"/>
          <w:szCs w:val="18"/>
        </w:rPr>
        <w:t xml:space="preserve">§ 6</w:t>
      </w:r>
    </w:p>
    <w:p>
      <w:pPr>
        <w:pStyle w:val="Heading1"/>
        <w:spacing w:after="180" w:before="200"/>
      </w:pPr>
      <w:r>
        <w:rPr>
          <w:rFonts w:ascii="Georgia" w:cs="Georgia" w:eastAsia="Georgia" w:hAnsi="Georgia"/>
          <w:b/>
          <w:bCs/>
          <w:color w:val="1A2A44"/>
          <w:sz w:val="36"/>
          <w:szCs w:val="36"/>
        </w:rPr>
        <w:t xml:space="preserve">The Host Organisation</w:t>
      </w:r>
    </w:p>
    <w:p>
      <w:pPr>
        <w:spacing w:after="180" w:before="120" w:line="340"/>
        <w:jc w:val="both"/>
      </w:pPr>
      <w:r>
        <w:rPr>
          <w:rFonts w:ascii="Calibri" w:cs="Calibri" w:eastAsia="Calibri" w:hAnsi="Calibri"/>
          <w:i/>
          <w:iCs/>
          <w:color w:val="2D3748"/>
          <w:sz w:val="24"/>
          <w:szCs w:val="24"/>
        </w:rPr>
        <w:t xml:space="preserve">ICC-Kenya is not a technology provider, a procurement authority, or a development agency. It is something rarer: a private-sector chamber with the standing to convene, the mandate to facilitate trade, and the institutional credibility to host infrastructure that no single actor in the system could host alone.</w:t>
      </w:r>
    </w:p>
    <w:p>
      <w:pPr>
        <w:pStyle w:val="Heading2"/>
        <w:pBdr>
          <w:bottom w:val="single" w:color="B8860B" w:sz="8" w:space="4"/>
        </w:pBdr>
        <w:spacing w:after="120" w:before="260"/>
      </w:pPr>
      <w:r>
        <w:rPr>
          <w:rFonts w:ascii="Georgia" w:cs="Georgia" w:eastAsia="Georgia" w:hAnsi="Georgia"/>
          <w:b/>
          <w:bCs/>
          <w:color w:val="1A2A44"/>
          <w:sz w:val="28"/>
          <w:szCs w:val="28"/>
        </w:rPr>
        <w:t xml:space="preserve">Why ICC-Kenya is the right host</w:t>
      </w:r>
    </w:p>
    <w:p>
      <w:pPr>
        <w:spacing w:after="80" w:before="80" w:line="320"/>
        <w:jc w:val="both"/>
      </w:pPr>
      <w:r>
        <w:rPr>
          <w:rFonts w:ascii="Calibri" w:cs="Calibri" w:eastAsia="Calibri" w:hAnsi="Calibri"/>
          <w:color w:val="4A5568"/>
          <w:sz w:val="22"/>
          <w:szCs w:val="22"/>
        </w:rPr>
        <w:t xml:space="preserve">Three institutional properties of the Kenya Chapter make it the credible host for an equal sourcing marketplace.</w:t>
      </w:r>
    </w:p>
    <w:p>
      <w:pPr>
        <w:pStyle w:val="ListParagraph"/>
        <w:numPr>
          <w:ilvl w:val="0"/>
          <w:numId w:val="2"/>
        </w:numPr>
        <w:spacing w:after="60" w:before="60" w:line="320"/>
      </w:pPr>
      <w:r>
        <w:rPr>
          <w:rFonts w:ascii="Calibri" w:cs="Calibri" w:eastAsia="Calibri" w:hAnsi="Calibri"/>
          <w:b/>
          <w:bCs/>
          <w:color w:val="2D3748"/>
          <w:sz w:val="22"/>
          <w:szCs w:val="22"/>
        </w:rPr>
        <w:t xml:space="preserve">Convening authority. </w:t>
      </w:r>
      <w:r>
        <w:rPr>
          <w:rFonts w:ascii="Calibri" w:cs="Calibri" w:eastAsia="Calibri" w:hAnsi="Calibri"/>
          <w:color w:val="4A5568"/>
          <w:sz w:val="22"/>
          <w:szCs w:val="22"/>
        </w:rPr>
        <w:t xml:space="preserve">ICC-Kenya is recognised by listed corporates, regulators, financiers, and development partners as a private-sector institution with neutral standing. The marketplace requires a host that buyers will trust without competitive concern, that financiers will work with without relationship friction, and that donors will support without channel-conflict.</w:t>
      </w:r>
    </w:p>
    <w:p>
      <w:pPr>
        <w:pStyle w:val="ListParagraph"/>
        <w:numPr>
          <w:ilvl w:val="0"/>
          <w:numId w:val="2"/>
        </w:numPr>
        <w:spacing w:after="60" w:before="60" w:line="320"/>
      </w:pPr>
      <w:r>
        <w:rPr>
          <w:rFonts w:ascii="Calibri" w:cs="Calibri" w:eastAsia="Calibri" w:hAnsi="Calibri"/>
          <w:b/>
          <w:bCs/>
          <w:color w:val="2D3748"/>
          <w:sz w:val="22"/>
          <w:szCs w:val="22"/>
        </w:rPr>
        <w:t xml:space="preserve">Mandate fit. </w:t>
      </w:r>
      <w:r>
        <w:rPr>
          <w:rFonts w:ascii="Calibri" w:cs="Calibri" w:eastAsia="Calibri" w:hAnsi="Calibri"/>
          <w:color w:val="4A5568"/>
          <w:sz w:val="22"/>
          <w:szCs w:val="22"/>
        </w:rPr>
        <w:t xml:space="preserve">Hosting trade-facilitation initiatives — including digital trade infrastructure, dispute resolution mechanisms, and trade documentation — is within ICC-Kenya's stated mandate. The marketplace fits naturally inside the Chamber's existing scope rather than requiring it to step into adjacent territory.</w:t>
      </w:r>
    </w:p>
    <w:p>
      <w:pPr>
        <w:pStyle w:val="ListParagraph"/>
        <w:numPr>
          <w:ilvl w:val="0"/>
          <w:numId w:val="2"/>
        </w:numPr>
        <w:spacing w:after="60" w:before="60" w:line="320"/>
      </w:pPr>
      <w:r>
        <w:rPr>
          <w:rFonts w:ascii="Calibri" w:cs="Calibri" w:eastAsia="Calibri" w:hAnsi="Calibri"/>
          <w:b/>
          <w:bCs/>
          <w:color w:val="2D3748"/>
          <w:sz w:val="22"/>
          <w:szCs w:val="22"/>
        </w:rPr>
        <w:t xml:space="preserve">Governance infrastructure. </w:t>
      </w:r>
      <w:r>
        <w:rPr>
          <w:rFonts w:ascii="Calibri" w:cs="Calibri" w:eastAsia="Calibri" w:hAnsi="Calibri"/>
          <w:color w:val="4A5568"/>
          <w:sz w:val="22"/>
          <w:szCs w:val="22"/>
        </w:rPr>
        <w:t xml:space="preserve">ICC-Kenya carries the institutional governance — fiduciary oversight, multi-stakeholder board, audit and compliance infrastructure — that gives a hosted initiative legitimacy with international partners and Kenyan regulators alike.</w:t>
      </w:r>
    </w:p>
    <w:p>
      <w:pPr>
        <w:pStyle w:val="Heading2"/>
        <w:pBdr>
          <w:bottom w:val="single" w:color="B8860B" w:sz="8" w:space="4"/>
        </w:pBdr>
        <w:spacing w:after="120" w:before="260"/>
      </w:pPr>
      <w:r>
        <w:rPr>
          <w:rFonts w:ascii="Georgia" w:cs="Georgia" w:eastAsia="Georgia" w:hAnsi="Georgia"/>
          <w:b/>
          <w:bCs/>
          <w:color w:val="1A2A44"/>
          <w:sz w:val="28"/>
          <w:szCs w:val="28"/>
        </w:rPr>
        <w:t xml:space="preserve">The host model</w:t>
      </w:r>
    </w:p>
    <w:p>
      <w:pPr>
        <w:spacing w:after="80" w:before="80" w:line="320"/>
        <w:jc w:val="both"/>
      </w:pPr>
      <w:r>
        <w:rPr>
          <w:rFonts w:ascii="Calibri" w:cs="Calibri" w:eastAsia="Calibri" w:hAnsi="Calibri"/>
          <w:color w:val="4A5568"/>
          <w:sz w:val="22"/>
          <w:szCs w:val="22"/>
        </w:rPr>
        <w:t xml:space="preserve">ICC-Kenya holds the marketplace under its institutional umbrella. The Chamber owns brand, deployment, user records, and operational governance. Strategic and programmatic decisions sit with an ICC-Kenya-appointed Steering Committee. Day-to-day operating responsibility rests with a dedicated team housed within ICC-Kenya, supported by the Sinasa technology team under partnership agreement.</w:t>
      </w:r>
    </w:p>
    <w:p>
      <w:pPr>
        <w:spacing w:after="80" w:before="80" w:line="320"/>
        <w:jc w:val="both"/>
      </w:pPr>
      <w:r>
        <w:rPr>
          <w:rFonts w:ascii="Calibri" w:cs="Calibri" w:eastAsia="Calibri" w:hAnsi="Calibri"/>
          <w:color w:val="4A5568"/>
          <w:sz w:val="22"/>
          <w:szCs w:val="22"/>
        </w:rPr>
        <w:t xml:space="preserve">The host model is deliberately minimalist on the Chamber side: ICC-Kenya does not become a software operator. ICC-Kenya does what only ICC-Kenya can do — convene, host, and lend institutional weight to disclosure conversations with NSE, CMA, and listed issuers. The technology runs underneath, as infrastructure.</w:t>
      </w:r>
    </w:p>
    <w:p>
      <w:r>
        <w:br w:type="page"/>
      </w:r>
    </w:p>
    <w:p>
      <w:pPr>
        <w:spacing w:after="40" w:before="240"/>
      </w:pPr>
      <w:r>
        <w:rPr>
          <w:rFonts w:ascii="Calibri" w:cs="Calibri" w:eastAsia="Calibri" w:hAnsi="Calibri"/>
          <w:b/>
          <w:bCs/>
          <w:color w:val="B8860B"/>
          <w:spacing w:val="60"/>
          <w:sz w:val="18"/>
          <w:szCs w:val="18"/>
        </w:rPr>
        <w:t xml:space="preserve">§ 7</w:t>
      </w:r>
    </w:p>
    <w:p>
      <w:pPr>
        <w:pStyle w:val="Heading1"/>
        <w:spacing w:after="180" w:before="200"/>
      </w:pPr>
      <w:r>
        <w:rPr>
          <w:rFonts w:ascii="Georgia" w:cs="Georgia" w:eastAsia="Georgia" w:hAnsi="Georgia"/>
          <w:b/>
          <w:bCs/>
          <w:color w:val="1A2A44"/>
          <w:sz w:val="36"/>
          <w:szCs w:val="36"/>
        </w:rPr>
        <w:t xml:space="preserve">Activation Plan</w:t>
      </w:r>
    </w:p>
    <w:p>
      <w:pPr>
        <w:spacing w:after="180" w:before="120" w:line="340"/>
        <w:jc w:val="both"/>
      </w:pPr>
      <w:r>
        <w:rPr>
          <w:rFonts w:ascii="Calibri" w:cs="Calibri" w:eastAsia="Calibri" w:hAnsi="Calibri"/>
          <w:i/>
          <w:iCs/>
          <w:color w:val="2D3748"/>
          <w:sz w:val="24"/>
          <w:szCs w:val="24"/>
        </w:rPr>
        <w:t xml:space="preserve">A twelve-month plan, led by ICC-Kenya, to move from concept to functioning marketplace with first transactions and a published Year 1 impact report.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rPr>
          <w:tblHeader/>
        </w:trPr>
        <w:tc>
          <w:tcPr>
            <w:tcW w:type="dxa" w:w="22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Quarter</w:t>
            </w:r>
          </w:p>
        </w:tc>
        <w:tc>
          <w:tcPr>
            <w:tcW w:type="dxa" w:w="566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Primary milestones</w:t>
            </w:r>
          </w:p>
        </w:tc>
        <w:tc>
          <w:tcPr>
            <w:tcW w:type="dxa" w:w="15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Lead</w:t>
            </w:r>
          </w:p>
        </w:tc>
      </w:tr>
      <w:tr>
        <w:tc>
          <w:tcPr>
            <w:tcW w:type="dxa" w:w="22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Q1 — Foundation</w:t>
            </w:r>
          </w:p>
        </w:tc>
        <w:tc>
          <w:tcPr>
            <w:tcW w:type="dxa" w:w="56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pPr>
              <w:spacing w:after="20" w:before="20"/>
            </w:pPr>
            <w:r>
              <w:rPr>
                <w:rFonts w:ascii="Calibri" w:cs="Calibri" w:eastAsia="Calibri" w:hAnsi="Calibri"/>
                <w:color w:val="4A5568"/>
                <w:sz w:val="20"/>
                <w:szCs w:val="20"/>
              </w:rPr>
              <w:t xml:space="preserve">Steering Committee constituted; governance ratified</w:t>
            </w:r>
          </w:p>
          <w:p>
            <w:pPr>
              <w:spacing w:after="20" w:before="20"/>
            </w:pPr>
            <w:r>
              <w:rPr>
                <w:rFonts w:ascii="Calibri" w:cs="Calibri" w:eastAsia="Calibri" w:hAnsi="Calibri"/>
                <w:color w:val="4A5568"/>
                <w:sz w:val="20"/>
                <w:szCs w:val="20"/>
              </w:rPr>
              <w:t xml:space="preserve">NSE partnership framework agreed at principle level</w:t>
            </w:r>
          </w:p>
          <w:p>
            <w:pPr>
              <w:spacing w:after="20" w:before="20"/>
            </w:pPr>
            <w:r>
              <w:rPr>
                <w:rFonts w:ascii="Calibri" w:cs="Calibri" w:eastAsia="Calibri" w:hAnsi="Calibri"/>
                <w:color w:val="4A5568"/>
                <w:sz w:val="20"/>
                <w:szCs w:val="20"/>
              </w:rPr>
              <w:t xml:space="preserve">Legal opinions on referral structure and Kenya DPA compliance secured</w:t>
            </w:r>
          </w:p>
          <w:p>
            <w:pPr>
              <w:spacing w:after="20" w:before="20"/>
            </w:pPr>
            <w:r>
              <w:rPr>
                <w:rFonts w:ascii="Calibri" w:cs="Calibri" w:eastAsia="Calibri" w:hAnsi="Calibri"/>
                <w:color w:val="4A5568"/>
                <w:sz w:val="20"/>
                <w:szCs w:val="20"/>
              </w:rPr>
              <w:t xml:space="preserve">Anchor sector identified; first 3–5 corporate buyers engaged</w:t>
            </w:r>
          </w:p>
          <w:p>
            <w:pPr>
              <w:spacing w:after="20" w:before="20"/>
            </w:pPr>
            <w:r>
              <w:rPr>
                <w:rFonts w:ascii="Calibri" w:cs="Calibri" w:eastAsia="Calibri" w:hAnsi="Calibri"/>
                <w:color w:val="4A5568"/>
                <w:sz w:val="20"/>
                <w:szCs w:val="20"/>
              </w:rPr>
              <w:t xml:space="preserve">Operating team recruitment under ICC-Kenya HR governance</w:t>
            </w:r>
          </w:p>
        </w:tc>
        <w:tc>
          <w:tcPr>
            <w:tcW w:type="dxa" w:w="15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ICC-Kenya Secretariat</w:t>
            </w:r>
          </w:p>
        </w:tc>
      </w:tr>
      <w:tr>
        <w:tc>
          <w:tcPr>
            <w:tcW w:type="dxa" w:w="22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Q2 — Anchor cohort</w:t>
            </w:r>
          </w:p>
        </w:tc>
        <w:tc>
          <w:tcPr>
            <w:tcW w:type="dxa" w:w="56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pPr>
              <w:spacing w:after="20" w:before="20"/>
            </w:pPr>
            <w:r>
              <w:rPr>
                <w:rFonts w:ascii="Calibri" w:cs="Calibri" w:eastAsia="Calibri" w:hAnsi="Calibri"/>
                <w:color w:val="4A5568"/>
                <w:sz w:val="20"/>
                <w:szCs w:val="20"/>
              </w:rPr>
              <w:t xml:space="preserve">NSE Memorandum signed; first listed corporates onboarded</w:t>
            </w:r>
          </w:p>
          <w:p>
            <w:pPr>
              <w:spacing w:after="20" w:before="20"/>
            </w:pPr>
            <w:r>
              <w:rPr>
                <w:rFonts w:ascii="Calibri" w:cs="Calibri" w:eastAsia="Calibri" w:hAnsi="Calibri"/>
                <w:color w:val="4A5568"/>
                <w:sz w:val="20"/>
                <w:szCs w:val="20"/>
              </w:rPr>
              <w:t xml:space="preserve">IFC Sourcing2Equal and UN Women capacity partnerships formalised</w:t>
            </w:r>
          </w:p>
          <w:p>
            <w:pPr>
              <w:spacing w:after="20" w:before="20"/>
            </w:pPr>
            <w:r>
              <w:rPr>
                <w:rFonts w:ascii="Calibri" w:cs="Calibri" w:eastAsia="Calibri" w:hAnsi="Calibri"/>
                <w:color w:val="4A5568"/>
                <w:sz w:val="20"/>
                <w:szCs w:val="20"/>
              </w:rPr>
              <w:t xml:space="preserve">Platform launched with anchor cohort; profile manager populated</w:t>
            </w:r>
          </w:p>
          <w:p>
            <w:pPr>
              <w:spacing w:after="20" w:before="20"/>
            </w:pPr>
            <w:r>
              <w:rPr>
                <w:rFonts w:ascii="Calibri" w:cs="Calibri" w:eastAsia="Calibri" w:hAnsi="Calibri"/>
                <w:color w:val="4A5568"/>
                <w:sz w:val="20"/>
                <w:szCs w:val="20"/>
              </w:rPr>
              <w:t xml:space="preserve">400–600 anchor-verified suppliers onboarded</w:t>
            </w:r>
          </w:p>
          <w:p>
            <w:pPr>
              <w:spacing w:after="20" w:before="20"/>
            </w:pPr>
            <w:r>
              <w:rPr>
                <w:rFonts w:ascii="Calibri" w:cs="Calibri" w:eastAsia="Calibri" w:hAnsi="Calibri"/>
                <w:color w:val="4A5568"/>
                <w:sz w:val="20"/>
                <w:szCs w:val="20"/>
              </w:rPr>
              <w:t xml:space="preserve">First financier partnerships closed and connected</w:t>
            </w:r>
          </w:p>
        </w:tc>
        <w:tc>
          <w:tcPr>
            <w:tcW w:type="dxa" w:w="15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ICC-Kenya + Sinasa</w:t>
            </w:r>
          </w:p>
        </w:tc>
      </w:tr>
      <w:tr>
        <w:tc>
          <w:tcPr>
            <w:tcW w:type="dxa" w:w="22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Q3 — First transactions</w:t>
            </w:r>
          </w:p>
        </w:tc>
        <w:tc>
          <w:tcPr>
            <w:tcW w:type="dxa" w:w="56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pPr>
              <w:spacing w:after="20" w:before="20"/>
            </w:pPr>
            <w:r>
              <w:rPr>
                <w:rFonts w:ascii="Calibri" w:cs="Calibri" w:eastAsia="Calibri" w:hAnsi="Calibri"/>
                <w:color w:val="4A5568"/>
                <w:sz w:val="20"/>
                <w:szCs w:val="20"/>
              </w:rPr>
              <w:t xml:space="preserve">First cohort of live tenders posted via the connecting agent</w:t>
            </w:r>
          </w:p>
          <w:p>
            <w:pPr>
              <w:spacing w:after="20" w:before="20"/>
            </w:pPr>
            <w:r>
              <w:rPr>
                <w:rFonts w:ascii="Calibri" w:cs="Calibri" w:eastAsia="Calibri" w:hAnsi="Calibri"/>
                <w:color w:val="4A5568"/>
                <w:sz w:val="20"/>
                <w:szCs w:val="20"/>
              </w:rPr>
              <w:t xml:space="preserve">First referred financing facilities closed via solution design</w:t>
            </w:r>
          </w:p>
          <w:p>
            <w:pPr>
              <w:spacing w:after="20" w:before="20"/>
            </w:pPr>
            <w:r>
              <w:rPr>
                <w:rFonts w:ascii="Calibri" w:cs="Calibri" w:eastAsia="Calibri" w:hAnsi="Calibri"/>
                <w:color w:val="4A5568"/>
                <w:sz w:val="20"/>
                <w:szCs w:val="20"/>
              </w:rPr>
              <w:t xml:space="preserve">Performance tracking operational across early contracts</w:t>
            </w:r>
          </w:p>
          <w:p>
            <w:pPr>
              <w:spacing w:after="20" w:before="20"/>
            </w:pPr>
            <w:r>
              <w:rPr>
                <w:rFonts w:ascii="Calibri" w:cs="Calibri" w:eastAsia="Calibri" w:hAnsi="Calibri"/>
                <w:color w:val="4A5568"/>
                <w:sz w:val="20"/>
                <w:szCs w:val="20"/>
              </w:rPr>
              <w:t xml:space="preserve">Second-sector preparation underway</w:t>
            </w:r>
          </w:p>
          <w:p>
            <w:pPr>
              <w:spacing w:after="20" w:before="20"/>
            </w:pPr>
            <w:r>
              <w:rPr>
                <w:rFonts w:ascii="Calibri" w:cs="Calibri" w:eastAsia="Calibri" w:hAnsi="Calibri"/>
                <w:color w:val="4A5568"/>
                <w:sz w:val="20"/>
                <w:szCs w:val="20"/>
              </w:rPr>
              <w:t xml:space="preserve">First quarterly disclosure report produced for NSE pilot issuers</w:t>
            </w:r>
          </w:p>
        </w:tc>
        <w:tc>
          <w:tcPr>
            <w:tcW w:type="dxa" w:w="15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ICC-Kenya + Sinasa + Anchor buyers</w:t>
            </w:r>
          </w:p>
        </w:tc>
      </w:tr>
      <w:tr>
        <w:tc>
          <w:tcPr>
            <w:tcW w:type="dxa" w:w="22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Q4 — Scale preparation</w:t>
            </w:r>
          </w:p>
        </w:tc>
        <w:tc>
          <w:tcPr>
            <w:tcW w:type="dxa" w:w="56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pPr>
              <w:spacing w:after="20" w:before="20"/>
            </w:pPr>
            <w:r>
              <w:rPr>
                <w:rFonts w:ascii="Calibri" w:cs="Calibri" w:eastAsia="Calibri" w:hAnsi="Calibri"/>
                <w:color w:val="4A5568"/>
                <w:sz w:val="20"/>
                <w:szCs w:val="20"/>
              </w:rPr>
              <w:t xml:space="preserve">Year 1 impact report published jointly with NSE and ICC-Kenya</w:t>
            </w:r>
          </w:p>
          <w:p>
            <w:pPr>
              <w:spacing w:after="20" w:before="20"/>
            </w:pPr>
            <w:r>
              <w:rPr>
                <w:rFonts w:ascii="Calibri" w:cs="Calibri" w:eastAsia="Calibri" w:hAnsi="Calibri"/>
                <w:color w:val="4A5568"/>
                <w:sz w:val="20"/>
                <w:szCs w:val="20"/>
              </w:rPr>
              <w:t xml:space="preserve">Cross-sector expansion into second and third anchor sectors</w:t>
            </w:r>
          </w:p>
          <w:p>
            <w:pPr>
              <w:spacing w:after="20" w:before="20"/>
            </w:pPr>
            <w:r>
              <w:rPr>
                <w:rFonts w:ascii="Calibri" w:cs="Calibri" w:eastAsia="Calibri" w:hAnsi="Calibri"/>
                <w:color w:val="4A5568"/>
                <w:sz w:val="20"/>
                <w:szCs w:val="20"/>
              </w:rPr>
              <w:t xml:space="preserve">Capacity programme intake for Year 2 cohort</w:t>
            </w:r>
          </w:p>
          <w:p>
            <w:pPr>
              <w:spacing w:after="20" w:before="20"/>
            </w:pPr>
            <w:r>
              <w:rPr>
                <w:rFonts w:ascii="Calibri" w:cs="Calibri" w:eastAsia="Calibri" w:hAnsi="Calibri"/>
                <w:color w:val="4A5568"/>
                <w:sz w:val="20"/>
                <w:szCs w:val="20"/>
              </w:rPr>
              <w:t xml:space="preserve">Year 2 plan and funding commitments locked</w:t>
            </w:r>
          </w:p>
          <w:p>
            <w:pPr>
              <w:spacing w:after="20" w:before="20"/>
            </w:pPr>
            <w:r>
              <w:rPr>
                <w:rFonts w:ascii="Calibri" w:cs="Calibri" w:eastAsia="Calibri" w:hAnsi="Calibri"/>
                <w:color w:val="4A5568"/>
                <w:sz w:val="20"/>
                <w:szCs w:val="20"/>
              </w:rPr>
              <w:t xml:space="preserve">Public Listed Issuer Supplier Diversity Forum convened</w:t>
            </w:r>
          </w:p>
        </w:tc>
        <w:tc>
          <w:tcPr>
            <w:tcW w:type="dxa" w:w="15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ICC-Kenya + Strategic partners</w:t>
            </w:r>
          </w:p>
        </w:tc>
      </w:tr>
    </w:tbl>
    <w:p>
      <w:pPr>
        <w:spacing w:after="0" w:before="200"/>
      </w:pPr>
    </w:p>
    <w:tbl>
      <w:tblPr>
        <w:tblW w:type="dxa" w:w="9360"/>
        <w:tblBorders>
          <w:top w:val="single" w:color="B8860B" w:sz="18"/>
          <w:left w:val="none" w:color="FFFFFF" w:sz="0"/>
          <w:bottom w:val="single" w:color="B8860B" w:sz="4"/>
          <w:right w:val="none" w:color="FFFFFF" w:sz="0"/>
          <w:insideH w:val="none" w:color="FFFFFF" w:sz="0"/>
          <w:insideV w:val="none" w:color="FFFFFF" w:sz="0"/>
        </w:tblBorders>
      </w:tblPr>
      <w:tblGrid>
        <w:gridCol w:w="9360"/>
      </w:tblGrid>
      <w:tr>
        <w:tc>
          <w:tcPr>
            <w:tcW w:type="dxa" w:w="9360"/>
            <w:shd w:fill="F5F0E6" w:val="clear"/>
            <w:tcMar>
              <w:top w:type="dxa" w:w="200"/>
              <w:left w:type="dxa" w:w="240"/>
              <w:bottom w:type="dxa" w:w="200"/>
              <w:right w:type="dxa" w:w="240"/>
            </w:tcMar>
          </w:tcPr>
          <w:p>
            <w:pPr>
              <w:spacing w:after="80"/>
            </w:pPr>
            <w:r>
              <w:rPr>
                <w:rFonts w:ascii="Calibri" w:cs="Calibri" w:eastAsia="Calibri" w:hAnsi="Calibri"/>
                <w:b/>
                <w:bCs/>
                <w:color w:val="1A2A44"/>
                <w:spacing w:val="50"/>
                <w:sz w:val="18"/>
                <w:szCs w:val="18"/>
              </w:rPr>
              <w:t xml:space="preserve">LEAD ACCOUNTABILITY</w:t>
            </w:r>
          </w:p>
          <w:p>
            <w:pPr>
              <w:spacing w:after="40" w:before="40" w:line="320"/>
            </w:pPr>
            <w:r>
              <w:rPr>
                <w:rFonts w:ascii="Calibri" w:cs="Calibri" w:eastAsia="Calibri" w:hAnsi="Calibri"/>
                <w:color w:val="2D3748"/>
                <w:sz w:val="22"/>
                <w:szCs w:val="22"/>
              </w:rPr>
              <w:t xml:space="preserve">Activation is led by ICC-Kenya. Sinasa provides the technology partnership. Strategic partners — NSE, IFC, UN Women, anchor corporates, and financiers — engage at points where their specific mandate is needed. The Chamber holds the integrating responsibility for all of it.</w:t>
            </w:r>
          </w:p>
        </w:tc>
      </w:tr>
    </w:tbl>
    <w:p>
      <w:r>
        <w:br w:type="page"/>
      </w:r>
    </w:p>
    <w:p>
      <w:pPr>
        <w:spacing w:after="40" w:before="240"/>
      </w:pPr>
      <w:r>
        <w:rPr>
          <w:rFonts w:ascii="Calibri" w:cs="Calibri" w:eastAsia="Calibri" w:hAnsi="Calibri"/>
          <w:b/>
          <w:bCs/>
          <w:color w:val="B8860B"/>
          <w:spacing w:val="60"/>
          <w:sz w:val="18"/>
          <w:szCs w:val="18"/>
        </w:rPr>
        <w:t xml:space="preserve">§ 8</w:t>
      </w:r>
    </w:p>
    <w:p>
      <w:pPr>
        <w:pStyle w:val="Heading1"/>
        <w:spacing w:after="180" w:before="200"/>
      </w:pPr>
      <w:r>
        <w:rPr>
          <w:rFonts w:ascii="Georgia" w:cs="Georgia" w:eastAsia="Georgia" w:hAnsi="Georgia"/>
          <w:b/>
          <w:bCs/>
          <w:color w:val="1A2A44"/>
          <w:sz w:val="36"/>
          <w:szCs w:val="36"/>
        </w:rPr>
        <w:t xml:space="preserve">Strategic Collaborations</w:t>
      </w:r>
    </w:p>
    <w:p>
      <w:pPr>
        <w:spacing w:after="180" w:before="120" w:line="340"/>
        <w:jc w:val="both"/>
      </w:pPr>
      <w:r>
        <w:rPr>
          <w:rFonts w:ascii="Calibri" w:cs="Calibri" w:eastAsia="Calibri" w:hAnsi="Calibri"/>
          <w:i/>
          <w:iCs/>
          <w:color w:val="2D3748"/>
          <w:sz w:val="24"/>
          <w:szCs w:val="24"/>
        </w:rPr>
        <w:t xml:space="preserve">The marketplace cannot be built or sustained by a single institution. Six categories of strategic partner are essential, each with a defined contribution and a defined ask.</w:t>
      </w:r>
    </w:p>
    <w:p>
      <w:pPr>
        <w:pStyle w:val="Heading2"/>
        <w:pBdr>
          <w:bottom w:val="single" w:color="B8860B" w:sz="8" w:space="4"/>
        </w:pBdr>
        <w:spacing w:after="120" w:before="260"/>
      </w:pPr>
      <w:r>
        <w:rPr>
          <w:rFonts w:ascii="Georgia" w:cs="Georgia" w:eastAsia="Georgia" w:hAnsi="Georgia"/>
          <w:b/>
          <w:bCs/>
          <w:color w:val="1A2A44"/>
          <w:sz w:val="28"/>
          <w:szCs w:val="28"/>
        </w:rPr>
        <w:t xml:space="preserve">8.1  The Nairobi Securities Exchange</w:t>
      </w:r>
    </w:p>
    <w:p>
      <w:pPr>
        <w:spacing w:after="80" w:before="80" w:line="320"/>
        <w:jc w:val="both"/>
      </w:pPr>
      <w:r>
        <w:rPr>
          <w:rFonts w:ascii="Calibri" w:cs="Calibri" w:eastAsia="Calibri" w:hAnsi="Calibri"/>
          <w:color w:val="4A5568"/>
          <w:sz w:val="22"/>
          <w:szCs w:val="22"/>
        </w:rPr>
        <w:t xml:space="preserve">Disclosure-linked adoption is the single largest determinant of marketplace scale. A formal partnership with the NSE — at the level of pilot cohort onboarding, ESG Sustainability Index recognition, and joint convening authority — translates the marketplace from useful infrastructure into reportable, accountable infrastructure.</w:t>
      </w:r>
    </w:p>
    <w:p>
      <w:pPr>
        <w:pStyle w:val="ListParagraph"/>
        <w:numPr>
          <w:ilvl w:val="0"/>
          <w:numId w:val="2"/>
        </w:numPr>
        <w:spacing w:after="60" w:before="60" w:line="320"/>
      </w:pPr>
      <w:r>
        <w:rPr>
          <w:rFonts w:ascii="Calibri" w:cs="Calibri" w:eastAsia="Calibri" w:hAnsi="Calibri"/>
          <w:b/>
          <w:bCs/>
          <w:color w:val="2D3748"/>
          <w:sz w:val="22"/>
          <w:szCs w:val="22"/>
        </w:rPr>
        <w:t xml:space="preserve">The ask. </w:t>
      </w:r>
      <w:r>
        <w:rPr>
          <w:rFonts w:ascii="Calibri" w:cs="Calibri" w:eastAsia="Calibri" w:hAnsi="Calibri"/>
          <w:color w:val="4A5568"/>
          <w:sz w:val="22"/>
          <w:szCs w:val="22"/>
        </w:rPr>
        <w:t xml:space="preserve">A pilot cohort of eight to twelve listed issuers across banking, telecommunications, manufacturing, and FMCG; recognition of WeDeliver-verified data as qualifying for the supplier-inclusion component of the NSE Sustainability Index; and joint convening of the annual Listed Issuer Supplier Diversity Forum.</w:t>
      </w:r>
    </w:p>
    <w:p>
      <w:pPr>
        <w:pStyle w:val="Heading2"/>
        <w:pBdr>
          <w:bottom w:val="single" w:color="B8860B" w:sz="8" w:space="4"/>
        </w:pBdr>
        <w:spacing w:after="120" w:before="260"/>
      </w:pPr>
      <w:r>
        <w:rPr>
          <w:rFonts w:ascii="Georgia" w:cs="Georgia" w:eastAsia="Georgia" w:hAnsi="Georgia"/>
          <w:b/>
          <w:bCs/>
          <w:color w:val="1A2A44"/>
          <w:sz w:val="28"/>
          <w:szCs w:val="28"/>
        </w:rPr>
        <w:t xml:space="preserve">8.2  IFC and the Sourcing2Equal programme</w:t>
      </w:r>
    </w:p>
    <w:p>
      <w:pPr>
        <w:spacing w:after="80" w:before="80" w:line="320"/>
        <w:jc w:val="both"/>
      </w:pPr>
      <w:r>
        <w:rPr>
          <w:rFonts w:ascii="Calibri" w:cs="Calibri" w:eastAsia="Calibri" w:hAnsi="Calibri"/>
          <w:color w:val="4A5568"/>
          <w:sz w:val="22"/>
          <w:szCs w:val="22"/>
        </w:rPr>
        <w:t xml:space="preserve">IFC's Sourcing2Equal Kenya programme is the natural capacity pipeline for the marketplace. Suppliers who graduate from S2E enter WeDeliver pre-prepared for verification and pre-equipped with the procurement readiness most directories cannot screen for.</w:t>
      </w:r>
    </w:p>
    <w:p>
      <w:pPr>
        <w:pStyle w:val="ListParagraph"/>
        <w:numPr>
          <w:ilvl w:val="0"/>
          <w:numId w:val="2"/>
        </w:numPr>
        <w:spacing w:after="60" w:before="60" w:line="320"/>
      </w:pPr>
      <w:r>
        <w:rPr>
          <w:rFonts w:ascii="Calibri" w:cs="Calibri" w:eastAsia="Calibri" w:hAnsi="Calibri"/>
          <w:b/>
          <w:bCs/>
          <w:color w:val="2D3748"/>
          <w:sz w:val="22"/>
          <w:szCs w:val="22"/>
        </w:rPr>
        <w:t xml:space="preserve">The ask. </w:t>
      </w:r>
      <w:r>
        <w:rPr>
          <w:rFonts w:ascii="Calibri" w:cs="Calibri" w:eastAsia="Calibri" w:hAnsi="Calibri"/>
          <w:color w:val="4A5568"/>
          <w:sz w:val="22"/>
          <w:szCs w:val="22"/>
        </w:rPr>
        <w:t xml:space="preserve">Formalised cohort placement: S2E graduates enter WeDeliver as a pre-verified supplier intake, with mutual recognition of capacity-building outputs and joint reporting on programme-to-marketplace conversion outcomes.</w:t>
      </w:r>
    </w:p>
    <w:p>
      <w:pPr>
        <w:pStyle w:val="Heading2"/>
        <w:pBdr>
          <w:bottom w:val="single" w:color="B8860B" w:sz="8" w:space="4"/>
        </w:pBdr>
        <w:spacing w:after="120" w:before="260"/>
      </w:pPr>
      <w:r>
        <w:rPr>
          <w:rFonts w:ascii="Georgia" w:cs="Georgia" w:eastAsia="Georgia" w:hAnsi="Georgia"/>
          <w:b/>
          <w:bCs/>
          <w:color w:val="1A2A44"/>
          <w:sz w:val="28"/>
          <w:szCs w:val="28"/>
        </w:rPr>
        <w:t xml:space="preserve">8.3  UN Women, Africa and Kenya offices</w:t>
      </w:r>
    </w:p>
    <w:p>
      <w:pPr>
        <w:spacing w:after="80" w:before="80" w:line="320"/>
        <w:jc w:val="both"/>
      </w:pPr>
      <w:r>
        <w:rPr>
          <w:rFonts w:ascii="Calibri" w:cs="Calibri" w:eastAsia="Calibri" w:hAnsi="Calibri"/>
          <w:color w:val="4A5568"/>
          <w:sz w:val="22"/>
          <w:szCs w:val="22"/>
        </w:rPr>
        <w:t xml:space="preserve">UN Women's convening, advocacy, and supplier diversity programming complements WeDeliver's transactional infrastructure. Where IFC delivers programme depth, UN Women delivers ecosystem reach.</w:t>
      </w:r>
    </w:p>
    <w:p>
      <w:pPr>
        <w:pStyle w:val="ListParagraph"/>
        <w:numPr>
          <w:ilvl w:val="0"/>
          <w:numId w:val="2"/>
        </w:numPr>
        <w:spacing w:after="60" w:before="60" w:line="320"/>
      </w:pPr>
      <w:r>
        <w:rPr>
          <w:rFonts w:ascii="Calibri" w:cs="Calibri" w:eastAsia="Calibri" w:hAnsi="Calibri"/>
          <w:b/>
          <w:bCs/>
          <w:color w:val="2D3748"/>
          <w:sz w:val="22"/>
          <w:szCs w:val="22"/>
        </w:rPr>
        <w:t xml:space="preserve">The ask. </w:t>
      </w:r>
      <w:r>
        <w:rPr>
          <w:rFonts w:ascii="Calibri" w:cs="Calibri" w:eastAsia="Calibri" w:hAnsi="Calibri"/>
          <w:color w:val="4A5568"/>
          <w:sz w:val="22"/>
          <w:szCs w:val="22"/>
        </w:rPr>
        <w:t xml:space="preserve">Programme co-design with UN Women's procurement pillar; cohort referral pathways into the marketplace; joint policy engagement with State Department for Gender and the Treasury on procurement preferences.</w:t>
      </w:r>
    </w:p>
    <w:p>
      <w:pPr>
        <w:pStyle w:val="Heading2"/>
        <w:pBdr>
          <w:bottom w:val="single" w:color="B8860B" w:sz="8" w:space="4"/>
        </w:pBdr>
        <w:spacing w:after="120" w:before="260"/>
      </w:pPr>
      <w:r>
        <w:rPr>
          <w:rFonts w:ascii="Georgia" w:cs="Georgia" w:eastAsia="Georgia" w:hAnsi="Georgia"/>
          <w:b/>
          <w:bCs/>
          <w:color w:val="1A2A44"/>
          <w:sz w:val="28"/>
          <w:szCs w:val="28"/>
        </w:rPr>
        <w:t xml:space="preserve">8.4  Anchor corporate buyers</w:t>
      </w:r>
    </w:p>
    <w:p>
      <w:pPr>
        <w:spacing w:after="80" w:before="80" w:line="320"/>
        <w:jc w:val="both"/>
      </w:pPr>
      <w:r>
        <w:rPr>
          <w:rFonts w:ascii="Calibri" w:cs="Calibri" w:eastAsia="Calibri" w:hAnsi="Calibri"/>
          <w:color w:val="4A5568"/>
          <w:sz w:val="22"/>
          <w:szCs w:val="22"/>
        </w:rPr>
        <w:t xml:space="preserve">Eight to twelve listed and large private buyers seed the marketplace by verifying their existing women-owned suppliers and committing to post tender opportunities through the platform. Anchor buyers are the cold-start mechanism.</w:t>
      </w:r>
    </w:p>
    <w:p>
      <w:pPr>
        <w:pStyle w:val="ListParagraph"/>
        <w:numPr>
          <w:ilvl w:val="0"/>
          <w:numId w:val="2"/>
        </w:numPr>
        <w:spacing w:after="60" w:before="60" w:line="320"/>
      </w:pPr>
      <w:r>
        <w:rPr>
          <w:rFonts w:ascii="Calibri" w:cs="Calibri" w:eastAsia="Calibri" w:hAnsi="Calibri"/>
          <w:b/>
          <w:bCs/>
          <w:color w:val="2D3748"/>
          <w:sz w:val="22"/>
          <w:szCs w:val="22"/>
        </w:rPr>
        <w:t xml:space="preserve">The ask. </w:t>
      </w:r>
      <w:r>
        <w:rPr>
          <w:rFonts w:ascii="Calibri" w:cs="Calibri" w:eastAsia="Calibri" w:hAnsi="Calibri"/>
          <w:color w:val="4A5568"/>
          <w:sz w:val="22"/>
          <w:szCs w:val="22"/>
        </w:rPr>
        <w:t xml:space="preserve">Verification of existing women-owned supplier base (estimated 30–60 suppliers per anchor); commitment to post a defined number of tenders or RFIs through WeDeliver in Year 1; reporting on procurement spend with verified suppliers.</w:t>
      </w:r>
    </w:p>
    <w:p>
      <w:pPr>
        <w:pStyle w:val="Heading2"/>
        <w:pBdr>
          <w:bottom w:val="single" w:color="B8860B" w:sz="8" w:space="4"/>
        </w:pBdr>
        <w:spacing w:after="120" w:before="260"/>
      </w:pPr>
      <w:r>
        <w:rPr>
          <w:rFonts w:ascii="Georgia" w:cs="Georgia" w:eastAsia="Georgia" w:hAnsi="Georgia"/>
          <w:b/>
          <w:bCs/>
          <w:color w:val="1A2A44"/>
          <w:sz w:val="28"/>
          <w:szCs w:val="28"/>
        </w:rPr>
        <w:t xml:space="preserve">8.5  Financiers</w:t>
      </w:r>
    </w:p>
    <w:p>
      <w:pPr>
        <w:spacing w:after="80" w:before="80" w:line="320"/>
        <w:jc w:val="both"/>
      </w:pPr>
      <w:r>
        <w:rPr>
          <w:rFonts w:ascii="Calibri" w:cs="Calibri" w:eastAsia="Calibri" w:hAnsi="Calibri"/>
          <w:color w:val="4A5568"/>
          <w:sz w:val="22"/>
          <w:szCs w:val="22"/>
        </w:rPr>
        <w:t xml:space="preserve">Banks, DFIs, alternative lenders, and trade finance institutions provide the working capital and trade finance that turns matched contracts into delivered contracts. Financier participation is structured as a referral relationship — Sinasa earns referral fees on closed facilities; ICC-Kenya does not enter regulated activity.</w:t>
      </w:r>
    </w:p>
    <w:p>
      <w:pPr>
        <w:pStyle w:val="ListParagraph"/>
        <w:numPr>
          <w:ilvl w:val="0"/>
          <w:numId w:val="2"/>
        </w:numPr>
        <w:spacing w:after="60" w:before="60" w:line="320"/>
      </w:pPr>
      <w:r>
        <w:rPr>
          <w:rFonts w:ascii="Calibri" w:cs="Calibri" w:eastAsia="Calibri" w:hAnsi="Calibri"/>
          <w:b/>
          <w:bCs/>
          <w:color w:val="2D3748"/>
          <w:sz w:val="22"/>
          <w:szCs w:val="22"/>
        </w:rPr>
        <w:t xml:space="preserve">The ask. </w:t>
      </w:r>
      <w:r>
        <w:rPr>
          <w:rFonts w:ascii="Calibri" w:cs="Calibri" w:eastAsia="Calibri" w:hAnsi="Calibri"/>
          <w:color w:val="4A5568"/>
          <w:sz w:val="22"/>
          <w:szCs w:val="22"/>
        </w:rPr>
        <w:t xml:space="preserve">Onboarding of standardised product profiles to the platform; participation in deal-financier matching; periodic reporting on referred-and-closed facilities by sector and ticket size.</w:t>
      </w:r>
    </w:p>
    <w:p>
      <w:pPr>
        <w:pStyle w:val="Heading2"/>
        <w:pBdr>
          <w:bottom w:val="single" w:color="B8860B" w:sz="8" w:space="4"/>
        </w:pBdr>
        <w:spacing w:after="120" w:before="260"/>
      </w:pPr>
      <w:r>
        <w:rPr>
          <w:rFonts w:ascii="Georgia" w:cs="Georgia" w:eastAsia="Georgia" w:hAnsi="Georgia"/>
          <w:b/>
          <w:bCs/>
          <w:color w:val="1A2A44"/>
          <w:sz w:val="28"/>
          <w:szCs w:val="28"/>
        </w:rPr>
        <w:t xml:space="preserve">8.6  Bilateral and DFI funders</w:t>
      </w:r>
    </w:p>
    <w:p>
      <w:pPr>
        <w:spacing w:after="80" w:before="80" w:line="320"/>
        <w:jc w:val="both"/>
      </w:pPr>
      <w:r>
        <w:rPr>
          <w:rFonts w:ascii="Calibri" w:cs="Calibri" w:eastAsia="Calibri" w:hAnsi="Calibri"/>
          <w:color w:val="4A5568"/>
          <w:sz w:val="22"/>
          <w:szCs w:val="22"/>
        </w:rPr>
        <w:t xml:space="preserve">Year 1 operations require blended-funding capital while marketplace revenue scales. DFIs, bilateral agencies, and foundations with established supplier diversity, women's economic empowerment, or trade-facilitation portfolios are natural early funders.</w:t>
      </w:r>
    </w:p>
    <w:p>
      <w:pPr>
        <w:pStyle w:val="ListParagraph"/>
        <w:numPr>
          <w:ilvl w:val="0"/>
          <w:numId w:val="2"/>
        </w:numPr>
        <w:spacing w:after="60" w:before="60" w:line="320"/>
      </w:pPr>
      <w:r>
        <w:rPr>
          <w:rFonts w:ascii="Calibri" w:cs="Calibri" w:eastAsia="Calibri" w:hAnsi="Calibri"/>
          <w:b/>
          <w:bCs/>
          <w:color w:val="2D3748"/>
          <w:sz w:val="22"/>
          <w:szCs w:val="22"/>
        </w:rPr>
        <w:t xml:space="preserve">The ask. </w:t>
      </w:r>
      <w:r>
        <w:rPr>
          <w:rFonts w:ascii="Calibri" w:cs="Calibri" w:eastAsia="Calibri" w:hAnsi="Calibri"/>
          <w:color w:val="4A5568"/>
          <w:sz w:val="22"/>
          <w:szCs w:val="22"/>
        </w:rPr>
        <w:t xml:space="preserve">Catalytic funding to underwrite Year 1 operations and platform deployment; co-design of impact measurement frameworks; alignment with broader Africa-wide supplier inclusion infrastructure.</w:t>
      </w:r>
    </w:p>
    <w:p>
      <w:r>
        <w:br w:type="page"/>
      </w:r>
    </w:p>
    <w:p>
      <w:pPr>
        <w:spacing w:after="40" w:before="240"/>
      </w:pPr>
      <w:r>
        <w:rPr>
          <w:rFonts w:ascii="Calibri" w:cs="Calibri" w:eastAsia="Calibri" w:hAnsi="Calibri"/>
          <w:b/>
          <w:bCs/>
          <w:color w:val="B8860B"/>
          <w:spacing w:val="60"/>
          <w:sz w:val="18"/>
          <w:szCs w:val="18"/>
        </w:rPr>
        <w:t xml:space="preserve">§ 9</w:t>
      </w:r>
    </w:p>
    <w:p>
      <w:pPr>
        <w:pStyle w:val="Heading1"/>
        <w:spacing w:after="180" w:before="200"/>
      </w:pPr>
      <w:r>
        <w:rPr>
          <w:rFonts w:ascii="Georgia" w:cs="Georgia" w:eastAsia="Georgia" w:hAnsi="Georgia"/>
          <w:b/>
          <w:bCs/>
          <w:color w:val="1A2A44"/>
          <w:sz w:val="36"/>
          <w:szCs w:val="36"/>
        </w:rPr>
        <w:t xml:space="preserve">Impact Pathway</w:t>
      </w:r>
    </w:p>
    <w:p>
      <w:pPr>
        <w:spacing w:after="180" w:before="120" w:line="340"/>
        <w:jc w:val="both"/>
      </w:pPr>
      <w:r>
        <w:rPr>
          <w:rFonts w:ascii="Calibri" w:cs="Calibri" w:eastAsia="Calibri" w:hAnsi="Calibri"/>
          <w:i/>
          <w:iCs/>
          <w:color w:val="2D3748"/>
          <w:sz w:val="24"/>
          <w:szCs w:val="24"/>
        </w:rPr>
        <w:t xml:space="preserve">What success looks like at twelve, twenty-four, and thirty-six months. Numbers are stated as ranges; lower bounds assume the NSE partnership lands at standard MOU level, upper bounds assume disclosure-linked integration.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Indicator</w:t>
            </w:r>
          </w:p>
        </w:tc>
        <w:tc>
          <w:tcPr>
            <w:tcW w:type="dxa" w:w="20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12 months</w:t>
            </w:r>
          </w:p>
        </w:tc>
        <w:tc>
          <w:tcPr>
            <w:tcW w:type="dxa" w:w="20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24 months</w:t>
            </w:r>
          </w:p>
        </w:tc>
        <w:tc>
          <w:tcPr>
            <w:tcW w:type="dxa" w:w="2000"/>
            <w:tcBorders>
              <w:top w:val="single" w:color="D9D4C8" w:sz="4"/>
              <w:left w:val="single" w:color="D9D4C8" w:sz="4"/>
              <w:bottom w:val="single" w:color="D9D4C8" w:sz="4"/>
              <w:right w:val="single" w:color="D9D4C8" w:sz="4"/>
            </w:tcBorders>
            <w:shd w:fill="1A2A44" w:val="clear"/>
            <w:tcMar>
              <w:top w:type="dxa" w:w="140"/>
              <w:left w:type="dxa" w:w="160"/>
              <w:bottom w:type="dxa" w:w="140"/>
              <w:right w:type="dxa" w:w="160"/>
            </w:tcMar>
          </w:tcPr>
          <w:p>
            <w:r>
              <w:rPr>
                <w:rFonts w:ascii="Calibri" w:cs="Calibri" w:eastAsia="Calibri" w:hAnsi="Calibri"/>
                <w:b/>
                <w:bCs/>
                <w:color w:val="FFFFFF"/>
                <w:sz w:val="20"/>
                <w:szCs w:val="20"/>
              </w:rPr>
              <w:t xml:space="preserve">36 months</w:t>
            </w:r>
          </w:p>
        </w:tc>
      </w:tr>
      <w:tr>
        <w:tc>
          <w:tcPr>
            <w:tcW w:type="dxa" w:w="33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Verified women-owned businesses on platform</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750 – 1,200</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3,000 – 4,500</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8,000 – 12,000</w:t>
            </w:r>
          </w:p>
        </w:tc>
      </w:tr>
      <w:tr>
        <w:tc>
          <w:tcPr>
            <w:tcW w:type="dxa" w:w="33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Listed and large corporate buyers actively engaged</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6 – 10</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15 – 25</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30 – 45</w:t>
            </w:r>
          </w:p>
        </w:tc>
      </w:tr>
      <w:tr>
        <w:tc>
          <w:tcPr>
            <w:tcW w:type="dxa" w:w="33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Procurement spend matched (KES)</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150M – 300M</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800M – 1.2B</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2.5B – 4.0B</w:t>
            </w:r>
          </w:p>
        </w:tc>
      </w:tr>
      <w:tr>
        <w:tc>
          <w:tcPr>
            <w:tcW w:type="dxa" w:w="33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Finance facilities referred and closed (KES)</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40M – 80M</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200M – 400M</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600M – 1.0B</w:t>
            </w:r>
          </w:p>
        </w:tc>
      </w:tr>
      <w:tr>
        <w:tc>
          <w:tcPr>
            <w:tcW w:type="dxa" w:w="336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Capacity programme placements</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200 – 400</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800 – 1,400</w:t>
            </w:r>
          </w:p>
        </w:tc>
        <w:tc>
          <w:tcPr>
            <w:tcW w:type="dxa" w:w="2000"/>
            <w:tcBorders>
              <w:top w:val="single" w:color="D9D4C8" w:sz="4"/>
              <w:left w:val="single" w:color="D9D4C8" w:sz="4"/>
              <w:bottom w:val="single" w:color="D9D4C8" w:sz="4"/>
              <w:right w:val="single" w:color="D9D4C8" w:sz="4"/>
            </w:tcBorders>
            <w:shd w:fill="FFFFFF" w:val="clear"/>
            <w:tcMar>
              <w:top w:type="dxa" w:w="120"/>
              <w:left w:type="dxa" w:w="160"/>
              <w:bottom w:type="dxa" w:w="120"/>
              <w:right w:type="dxa" w:w="160"/>
            </w:tcMar>
          </w:tcPr>
          <w:p>
            <w:r>
              <w:rPr>
                <w:rFonts w:ascii="Calibri" w:cs="Calibri" w:eastAsia="Calibri" w:hAnsi="Calibri"/>
                <w:color w:val="4A5568"/>
                <w:sz w:val="20"/>
                <w:szCs w:val="20"/>
              </w:rPr>
              <w:t xml:space="preserve">2,000 – 3,500</w:t>
            </w:r>
          </w:p>
        </w:tc>
      </w:tr>
      <w:tr>
        <w:tc>
          <w:tcPr>
            <w:tcW w:type="dxa" w:w="336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Supplier on-time, in-full delivery rate</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Baseline established</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 82%</w:t>
            </w:r>
          </w:p>
        </w:tc>
        <w:tc>
          <w:tcPr>
            <w:tcW w:type="dxa" w:w="2000"/>
            <w:tcBorders>
              <w:top w:val="single" w:color="D9D4C8" w:sz="4"/>
              <w:left w:val="single" w:color="D9D4C8" w:sz="4"/>
              <w:bottom w:val="single" w:color="D9D4C8" w:sz="4"/>
              <w:right w:val="single" w:color="D9D4C8" w:sz="4"/>
            </w:tcBorders>
            <w:shd w:fill="FAFAFA" w:val="clear"/>
            <w:tcMar>
              <w:top w:type="dxa" w:w="120"/>
              <w:left w:type="dxa" w:w="160"/>
              <w:bottom w:type="dxa" w:w="120"/>
              <w:right w:type="dxa" w:w="160"/>
            </w:tcMar>
          </w:tcPr>
          <w:p>
            <w:r>
              <w:rPr>
                <w:rFonts w:ascii="Calibri" w:cs="Calibri" w:eastAsia="Calibri" w:hAnsi="Calibri"/>
                <w:color w:val="4A5568"/>
                <w:sz w:val="20"/>
                <w:szCs w:val="20"/>
              </w:rPr>
              <w:t xml:space="preserve">≥ 88%</w:t>
            </w:r>
          </w:p>
        </w:tc>
      </w:tr>
    </w:tbl>
    <w:p>
      <w:pPr>
        <w:spacing w:after="0" w:before="200"/>
      </w:pPr>
    </w:p>
    <w:p>
      <w:pPr>
        <w:pStyle w:val="Heading2"/>
        <w:pBdr>
          <w:bottom w:val="single" w:color="B8860B" w:sz="8" w:space="4"/>
        </w:pBdr>
        <w:spacing w:after="120" w:before="260"/>
      </w:pPr>
      <w:r>
        <w:rPr>
          <w:rFonts w:ascii="Georgia" w:cs="Georgia" w:eastAsia="Georgia" w:hAnsi="Georgia"/>
          <w:b/>
          <w:bCs/>
          <w:color w:val="1A2A44"/>
          <w:sz w:val="28"/>
          <w:szCs w:val="28"/>
        </w:rPr>
        <w:t xml:space="preserve">Beyond the numbers</w:t>
      </w:r>
    </w:p>
    <w:p>
      <w:pPr>
        <w:pStyle w:val="ListParagraph"/>
        <w:numPr>
          <w:ilvl w:val="0"/>
          <w:numId w:val="2"/>
        </w:numPr>
        <w:spacing w:after="60" w:before="60" w:line="320"/>
      </w:pPr>
      <w:r>
        <w:rPr>
          <w:rFonts w:ascii="Calibri" w:cs="Calibri" w:eastAsia="Calibri" w:hAnsi="Calibri"/>
          <w:b/>
          <w:bCs/>
          <w:color w:val="2D3748"/>
          <w:sz w:val="22"/>
          <w:szCs w:val="22"/>
        </w:rPr>
        <w:t xml:space="preserve">Market leadership. </w:t>
      </w:r>
      <w:r>
        <w:rPr>
          <w:rFonts w:ascii="Calibri" w:cs="Calibri" w:eastAsia="Calibri" w:hAnsi="Calibri"/>
          <w:color w:val="4A5568"/>
          <w:sz w:val="22"/>
          <w:szCs w:val="22"/>
        </w:rPr>
        <w:t xml:space="preserve">Kenya becomes the first African jurisdiction with functioning transaction infrastructure for verified supplier diversity, ahead of the regulatory disclosure curve.</w:t>
      </w:r>
    </w:p>
    <w:p>
      <w:pPr>
        <w:pStyle w:val="ListParagraph"/>
        <w:numPr>
          <w:ilvl w:val="0"/>
          <w:numId w:val="2"/>
        </w:numPr>
        <w:spacing w:after="60" w:before="60" w:line="320"/>
      </w:pPr>
      <w:r>
        <w:rPr>
          <w:rFonts w:ascii="Calibri" w:cs="Calibri" w:eastAsia="Calibri" w:hAnsi="Calibri"/>
          <w:b/>
          <w:bCs/>
          <w:color w:val="2D3748"/>
          <w:sz w:val="22"/>
          <w:szCs w:val="22"/>
        </w:rPr>
        <w:t xml:space="preserve">Chamber positioning. </w:t>
      </w:r>
      <w:r>
        <w:rPr>
          <w:rFonts w:ascii="Calibri" w:cs="Calibri" w:eastAsia="Calibri" w:hAnsi="Calibri"/>
          <w:color w:val="4A5568"/>
          <w:sz w:val="22"/>
          <w:szCs w:val="22"/>
        </w:rPr>
        <w:t xml:space="preserve">ICC-Kenya establishes operational delivery credentials in ESG and supplier inclusion, opening adjacent institutional and donor partnerships in trade facilitation.</w:t>
      </w:r>
    </w:p>
    <w:p>
      <w:pPr>
        <w:pStyle w:val="ListParagraph"/>
        <w:numPr>
          <w:ilvl w:val="0"/>
          <w:numId w:val="2"/>
        </w:numPr>
        <w:spacing w:after="60" w:before="60" w:line="320"/>
      </w:pPr>
      <w:r>
        <w:rPr>
          <w:rFonts w:ascii="Calibri" w:cs="Calibri" w:eastAsia="Calibri" w:hAnsi="Calibri"/>
          <w:b/>
          <w:bCs/>
          <w:color w:val="2D3748"/>
          <w:sz w:val="22"/>
          <w:szCs w:val="22"/>
        </w:rPr>
        <w:t xml:space="preserve">Policy infrastructure. </w:t>
      </w:r>
      <w:r>
        <w:rPr>
          <w:rFonts w:ascii="Calibri" w:cs="Calibri" w:eastAsia="Calibri" w:hAnsi="Calibri"/>
          <w:color w:val="4A5568"/>
          <w:sz w:val="22"/>
          <w:szCs w:val="22"/>
        </w:rPr>
        <w:t xml:space="preserve">Marketplace data becomes a longitudinal evidence base for procurement and supplier inclusion policy formation across CMA, Treasury, State Department for MSME Development, and bilateral partners.</w:t>
      </w:r>
    </w:p>
    <w:p>
      <w:pPr>
        <w:pStyle w:val="ListParagraph"/>
        <w:numPr>
          <w:ilvl w:val="0"/>
          <w:numId w:val="2"/>
        </w:numPr>
        <w:spacing w:after="60" w:before="60" w:line="320"/>
      </w:pPr>
      <w:r>
        <w:rPr>
          <w:rFonts w:ascii="Calibri" w:cs="Calibri" w:eastAsia="Calibri" w:hAnsi="Calibri"/>
          <w:b/>
          <w:bCs/>
          <w:color w:val="2D3748"/>
          <w:sz w:val="22"/>
          <w:szCs w:val="22"/>
        </w:rPr>
        <w:t xml:space="preserve">Regional extensibility. </w:t>
      </w:r>
      <w:r>
        <w:rPr>
          <w:rFonts w:ascii="Calibri" w:cs="Calibri" w:eastAsia="Calibri" w:hAnsi="Calibri"/>
          <w:color w:val="4A5568"/>
          <w:sz w:val="22"/>
          <w:szCs w:val="22"/>
        </w:rPr>
        <w:t xml:space="preserve">The architecture — host institution, technology partner, three intelligent components, disclosure leverage — is documented and replicable across Uganda, Tanzania, Rwanda, and the broader EAC trading bloc.</w:t>
      </w:r>
    </w:p>
    <w:p>
      <w:r>
        <w:br w:type="page"/>
      </w:r>
    </w:p>
    <w:p>
      <w:pPr>
        <w:spacing w:after="40" w:before="240"/>
      </w:pPr>
      <w:r>
        <w:rPr>
          <w:rFonts w:ascii="Calibri" w:cs="Calibri" w:eastAsia="Calibri" w:hAnsi="Calibri"/>
          <w:b/>
          <w:bCs/>
          <w:color w:val="B8860B"/>
          <w:spacing w:val="60"/>
          <w:sz w:val="18"/>
          <w:szCs w:val="18"/>
        </w:rPr>
        <w:t xml:space="preserve">§ 10</w:t>
      </w:r>
    </w:p>
    <w:p>
      <w:pPr>
        <w:pStyle w:val="Heading1"/>
        <w:spacing w:after="180" w:before="200"/>
      </w:pPr>
      <w:r>
        <w:rPr>
          <w:rFonts w:ascii="Georgia" w:cs="Georgia" w:eastAsia="Georgia" w:hAnsi="Georgia"/>
          <w:b/>
          <w:bCs/>
          <w:color w:val="1A2A44"/>
          <w:sz w:val="36"/>
          <w:szCs w:val="36"/>
        </w:rPr>
        <w:t xml:space="preserve">Engagement</w:t>
      </w:r>
    </w:p>
    <w:p>
      <w:pPr>
        <w:spacing w:after="180" w:before="120" w:line="340"/>
        <w:jc w:val="both"/>
      </w:pPr>
      <w:r>
        <w:rPr>
          <w:rFonts w:ascii="Calibri" w:cs="Calibri" w:eastAsia="Calibri" w:hAnsi="Calibri"/>
          <w:i/>
          <w:iCs/>
          <w:color w:val="2D3748"/>
          <w:sz w:val="24"/>
          <w:szCs w:val="24"/>
        </w:rPr>
        <w:t xml:space="preserve">This concept note is an invitation. The marketplace is being built; the question for partners is the form and depth of engagement, not whether the work will proceed.</w:t>
      </w:r>
    </w:p>
    <w:p>
      <w:pPr>
        <w:pStyle w:val="Heading2"/>
        <w:pBdr>
          <w:bottom w:val="single" w:color="B8860B" w:sz="8" w:space="4"/>
        </w:pBdr>
        <w:spacing w:after="120" w:before="260"/>
      </w:pPr>
      <w:r>
        <w:rPr>
          <w:rFonts w:ascii="Georgia" w:cs="Georgia" w:eastAsia="Georgia" w:hAnsi="Georgia"/>
          <w:b/>
          <w:bCs/>
          <w:color w:val="1A2A44"/>
          <w:sz w:val="28"/>
          <w:szCs w:val="28"/>
        </w:rPr>
        <w:t xml:space="preserve">How partners can engage</w:t>
      </w:r>
    </w:p>
    <w:p>
      <w:pPr>
        <w:pStyle w:val="ListParagraph"/>
        <w:numPr>
          <w:ilvl w:val="0"/>
          <w:numId w:val="3"/>
        </w:numPr>
        <w:spacing w:after="60" w:before="60" w:line="320"/>
      </w:pPr>
      <w:r>
        <w:rPr>
          <w:rFonts w:ascii="Calibri" w:cs="Calibri" w:eastAsia="Calibri" w:hAnsi="Calibri"/>
          <w:b/>
          <w:bCs/>
          <w:color w:val="2D3748"/>
          <w:sz w:val="22"/>
          <w:szCs w:val="22"/>
        </w:rPr>
        <w:t xml:space="preserve">1.  Strategic alignment briefing. </w:t>
      </w:r>
      <w:r>
        <w:rPr>
          <w:rFonts w:ascii="Calibri" w:cs="Calibri" w:eastAsia="Calibri" w:hAnsi="Calibri"/>
          <w:color w:val="4A5568"/>
          <w:sz w:val="22"/>
          <w:szCs w:val="22"/>
        </w:rPr>
        <w:t xml:space="preserve">Reviewing the concept note, the underlying programme architecture, and the technology partnership structure with ICC-Kenya Secretariat. A first conversation typically takes ninety minutes.</w:t>
      </w:r>
    </w:p>
    <w:p>
      <w:pPr>
        <w:pStyle w:val="ListParagraph"/>
        <w:numPr>
          <w:ilvl w:val="0"/>
          <w:numId w:val="3"/>
        </w:numPr>
        <w:spacing w:after="60" w:before="60" w:line="320"/>
      </w:pPr>
      <w:r>
        <w:rPr>
          <w:rFonts w:ascii="Calibri" w:cs="Calibri" w:eastAsia="Calibri" w:hAnsi="Calibri"/>
          <w:b/>
          <w:bCs/>
          <w:color w:val="2D3748"/>
          <w:sz w:val="22"/>
          <w:szCs w:val="22"/>
        </w:rPr>
        <w:t xml:space="preserve">2.  Technical alignment session. </w:t>
      </w:r>
      <w:r>
        <w:rPr>
          <w:rFonts w:ascii="Calibri" w:cs="Calibri" w:eastAsia="Calibri" w:hAnsi="Calibri"/>
          <w:color w:val="4A5568"/>
          <w:sz w:val="22"/>
          <w:szCs w:val="22"/>
        </w:rPr>
        <w:t xml:space="preserve">For corporate buyers, financiers, and capacity programmes, a structured technical alignment session reviewing how the partner's existing infrastructure, programmes, or supplier base map onto the marketplace.</w:t>
      </w:r>
    </w:p>
    <w:p>
      <w:pPr>
        <w:pStyle w:val="ListParagraph"/>
        <w:numPr>
          <w:ilvl w:val="0"/>
          <w:numId w:val="3"/>
        </w:numPr>
        <w:spacing w:after="60" w:before="60" w:line="320"/>
      </w:pPr>
      <w:r>
        <w:rPr>
          <w:rFonts w:ascii="Calibri" w:cs="Calibri" w:eastAsia="Calibri" w:hAnsi="Calibri"/>
          <w:b/>
          <w:bCs/>
          <w:color w:val="2D3748"/>
          <w:sz w:val="22"/>
          <w:szCs w:val="22"/>
        </w:rPr>
        <w:t xml:space="preserve">3.  Pilot scoping. </w:t>
      </w:r>
      <w:r>
        <w:rPr>
          <w:rFonts w:ascii="Calibri" w:cs="Calibri" w:eastAsia="Calibri" w:hAnsi="Calibri"/>
          <w:color w:val="4A5568"/>
          <w:sz w:val="22"/>
          <w:szCs w:val="22"/>
        </w:rPr>
        <w:t xml:space="preserve">Co-designed with ICC-Kenya, defining the scope, contribution, deliverables, and reporting framework for the partner's specific engagement. Memorandum of Understanding follows as appropriate.</w:t>
      </w:r>
    </w:p>
    <w:p>
      <w:pPr>
        <w:pStyle w:val="ListParagraph"/>
        <w:numPr>
          <w:ilvl w:val="0"/>
          <w:numId w:val="3"/>
        </w:numPr>
        <w:spacing w:after="60" w:before="60" w:line="320"/>
      </w:pPr>
      <w:r>
        <w:rPr>
          <w:rFonts w:ascii="Calibri" w:cs="Calibri" w:eastAsia="Calibri" w:hAnsi="Calibri"/>
          <w:b/>
          <w:bCs/>
          <w:color w:val="2D3748"/>
          <w:sz w:val="22"/>
          <w:szCs w:val="22"/>
        </w:rPr>
        <w:t xml:space="preserve">4.  Funder engagement. </w:t>
      </w:r>
      <w:r>
        <w:rPr>
          <w:rFonts w:ascii="Calibri" w:cs="Calibri" w:eastAsia="Calibri" w:hAnsi="Calibri"/>
          <w:color w:val="4A5568"/>
          <w:sz w:val="22"/>
          <w:szCs w:val="22"/>
        </w:rPr>
        <w:t xml:space="preserve">For funders, structured proposals aligned to existing portfolios — supplier diversity, women's economic empowerment, trade facilitation, or digital infrastructure — with co-designed measurement frameworks.</w:t>
      </w:r>
    </w:p>
    <w:p>
      <w:pPr>
        <w:spacing w:after="0" w:before="300"/>
      </w:pPr>
    </w:p>
    <w:tbl>
      <w:tblPr>
        <w:tblW w:type="dxa" w:w="9360"/>
        <w:tblBorders>
          <w:top w:val="single" w:color="B8860B" w:sz="18"/>
          <w:left w:val="none" w:color="FFFFFF" w:sz="0"/>
          <w:bottom w:val="single" w:color="B8860B" w:sz="4"/>
          <w:right w:val="none" w:color="FFFFFF" w:sz="0"/>
          <w:insideH w:val="none" w:color="FFFFFF" w:sz="0"/>
          <w:insideV w:val="none" w:color="FFFFFF" w:sz="0"/>
        </w:tblBorders>
      </w:tblPr>
      <w:tblGrid>
        <w:gridCol w:w="9360"/>
      </w:tblGrid>
      <w:tr>
        <w:tc>
          <w:tcPr>
            <w:tcW w:type="dxa" w:w="9360"/>
            <w:shd w:fill="F5F0E6" w:val="clear"/>
            <w:tcMar>
              <w:top w:type="dxa" w:w="200"/>
              <w:left w:type="dxa" w:w="240"/>
              <w:bottom w:type="dxa" w:w="200"/>
              <w:right w:type="dxa" w:w="240"/>
            </w:tcMar>
          </w:tcPr>
          <w:p>
            <w:pPr>
              <w:spacing w:after="80"/>
            </w:pPr>
            <w:r>
              <w:rPr>
                <w:rFonts w:ascii="Calibri" w:cs="Calibri" w:eastAsia="Calibri" w:hAnsi="Calibri"/>
                <w:b/>
                <w:bCs/>
                <w:color w:val="1A2A44"/>
                <w:spacing w:val="50"/>
                <w:sz w:val="18"/>
                <w:szCs w:val="18"/>
              </w:rPr>
              <w:t xml:space="preserve">CONTACT</w:t>
            </w:r>
          </w:p>
          <w:p>
            <w:pPr>
              <w:spacing w:after="40" w:before="40" w:line="320"/>
            </w:pPr>
            <w:r>
              <w:rPr>
                <w:rFonts w:ascii="Calibri" w:cs="Calibri" w:eastAsia="Calibri" w:hAnsi="Calibri"/>
                <w:color w:val="2D3748"/>
                <w:sz w:val="22"/>
                <w:szCs w:val="22"/>
              </w:rPr>
              <w:t xml:space="preserve">International Chamber of Commerce — Kenya Chapter</w:t>
            </w:r>
          </w:p>
          <w:p>
            <w:pPr>
              <w:spacing w:after="40" w:before="40" w:line="320"/>
            </w:pPr>
            <w:r>
              <w:rPr>
                <w:rFonts w:ascii="Calibri" w:cs="Calibri" w:eastAsia="Calibri" w:hAnsi="Calibri"/>
                <w:color w:val="2D3748"/>
                <w:sz w:val="22"/>
                <w:szCs w:val="22"/>
              </w:rPr>
              <w:t xml:space="preserve">Nairobi, Kenya</w:t>
            </w:r>
          </w:p>
          <w:p>
            <w:pPr>
              <w:spacing w:after="40" w:before="40" w:line="320"/>
            </w:pPr>
            <w:r>
              <w:rPr>
                <w:rFonts w:ascii="Calibri" w:cs="Calibri" w:eastAsia="Calibri" w:hAnsi="Calibri"/>
                <w:color w:val="2D3748"/>
                <w:sz w:val="22"/>
                <w:szCs w:val="22"/>
              </w:rPr>
              <w:t xml:space="preserve"/>
            </w:r>
          </w:p>
          <w:p>
            <w:pPr>
              <w:spacing w:after="40" w:before="40" w:line="320"/>
            </w:pPr>
            <w:r>
              <w:rPr>
                <w:rFonts w:ascii="Calibri" w:cs="Calibri" w:eastAsia="Calibri" w:hAnsi="Calibri"/>
                <w:color w:val="2D3748"/>
                <w:sz w:val="22"/>
                <w:szCs w:val="22"/>
              </w:rPr>
              <w:t xml:space="preserve">For partnership engagement: secretariat@iccke.org</w:t>
            </w:r>
          </w:p>
          <w:p>
            <w:pPr>
              <w:spacing w:after="40" w:before="40" w:line="320"/>
            </w:pPr>
            <w:r>
              <w:rPr>
                <w:rFonts w:ascii="Calibri" w:cs="Calibri" w:eastAsia="Calibri" w:hAnsi="Calibri"/>
                <w:color w:val="2D3748"/>
                <w:sz w:val="22"/>
                <w:szCs w:val="22"/>
              </w:rPr>
              <w:t xml:space="preserve">For technology and platform queries: routed to Sinasa Ltd as technology partner</w:t>
            </w:r>
          </w:p>
          <w:p>
            <w:pPr>
              <w:spacing w:after="40" w:before="40" w:line="320"/>
            </w:pPr>
            <w:r>
              <w:rPr>
                <w:rFonts w:ascii="Calibri" w:cs="Calibri" w:eastAsia="Calibri" w:hAnsi="Calibri"/>
                <w:color w:val="2D3748"/>
                <w:sz w:val="22"/>
                <w:szCs w:val="22"/>
              </w:rPr>
              <w:t xml:space="preserve"/>
            </w:r>
          </w:p>
          <w:p>
            <w:pPr>
              <w:spacing w:after="40" w:before="40" w:line="320"/>
            </w:pPr>
            <w:r>
              <w:rPr>
                <w:rFonts w:ascii="Calibri" w:cs="Calibri" w:eastAsia="Calibri" w:hAnsi="Calibri"/>
                <w:color w:val="2D3748"/>
                <w:sz w:val="22"/>
                <w:szCs w:val="22"/>
              </w:rPr>
              <w:t xml:space="preserve">This concept note is shared on a non-exclusive basis with strategic partners and may be updated as the programme evolves.</w:t>
            </w:r>
          </w:p>
        </w:tc>
      </w:tr>
    </w:tbl>
    <w:p>
      <w:pPr>
        <w:spacing w:after="0" w:before="400"/>
      </w:pPr>
    </w:p>
    <w:p>
      <w:pPr>
        <w:pBdr>
          <w:top w:val="single" w:color="D9D4C8" w:sz="6" w:space="6"/>
        </w:pBdr>
        <w:spacing w:after="60" w:before="400"/>
        <w:jc w:val="left"/>
      </w:pPr>
      <w:r>
        <w:rPr>
          <w:rFonts w:ascii="Calibri" w:cs="Calibri" w:eastAsia="Calibri" w:hAnsi="Calibri"/>
          <w:i/>
          <w:iCs/>
          <w:color w:val="4A5568"/>
          <w:sz w:val="20"/>
          <w:szCs w:val="20"/>
        </w:rPr>
        <w:t xml:space="preserve">— End of concept note —</w:t>
      </w:r>
    </w:p>
    <w:p>
      <w:pPr>
        <w:spacing w:before="160"/>
      </w:pPr>
      <w:r>
        <w:rPr>
          <w:rFonts w:ascii="Calibri" w:cs="Calibri" w:eastAsia="Calibri" w:hAnsi="Calibri"/>
          <w:color w:val="4A5568"/>
          <w:sz w:val="18"/>
          <w:szCs w:val="18"/>
        </w:rPr>
        <w:t xml:space="preserve">Companion documents available on request: </w:t>
      </w:r>
      <w:r>
        <w:rPr>
          <w:rFonts w:ascii="Calibri" w:cs="Calibri" w:eastAsia="Calibri" w:hAnsi="Calibri"/>
          <w:i/>
          <w:iCs/>
          <w:color w:val="4A5568"/>
          <w:sz w:val="18"/>
          <w:szCs w:val="18"/>
        </w:rPr>
        <w:t xml:space="preserve">Board Memorandum (governance and approvals)  ·  Partner Briefing Deck (visual narrative)  ·  Technology Partnership Specification (Sinasa, technical architecture)  ·  Three-Year Operating Plan (financial and operational detail)</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8" w:sz="4" w:space="4"/>
      </w:pBdr>
      <w:tabs>
        <w:tab w:val="right" w:pos="9026"/>
      </w:tabs>
    </w:pPr>
    <w:r>
      <w:rPr>
        <w:rFonts w:ascii="Calibri" w:cs="Calibri" w:eastAsia="Calibri" w:hAnsi="Calibri"/>
        <w:i/>
        <w:iCs/>
        <w:color w:val="4A5568"/>
        <w:sz w:val="16"/>
        <w:szCs w:val="16"/>
      </w:rPr>
      <w:t xml:space="preserve">An Equal Sourcing Marketplace for Kenya  —  v1.0  ·  April 2026</w:t>
    </w:r>
    <w:r>
      <w:rPr>
        <w:rFonts w:ascii="Calibri" w:cs="Calibri" w:eastAsia="Calibri" w:hAnsi="Calibri"/>
        <w:sz w:val="16"/>
        <w:szCs w:val="16"/>
      </w:rPr>
      <w:t xml:space="preserve">	</w:t>
    </w:r>
    <w:r>
      <w:rPr>
        <w:rFonts w:ascii="Calibri" w:cs="Calibri" w:eastAsia="Calibri" w:hAnsi="Calibri"/>
        <w:color w:val="4A5568"/>
        <w:sz w:val="16"/>
        <w:szCs w:val="16"/>
      </w:rPr>
      <w:t xml:space="preserve">Page </w:t>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tabs>
        <w:tab w:val="right" w:pos="9026"/>
      </w:tabs>
    </w:pPr>
    <w:r>
      <w:rPr>
        <w:rFonts w:ascii="Calibri" w:cs="Calibri" w:eastAsia="Calibri" w:hAnsi="Calibri"/>
        <w:b/>
        <w:bCs/>
        <w:color w:val="1A2A44"/>
        <w:sz w:val="18"/>
        <w:szCs w:val="18"/>
      </w:rPr>
      <w:t xml:space="preserve">WeDeliver  ·  Concept Note</w:t>
    </w:r>
    <w:r>
      <w:rPr>
        <w:rFonts w:ascii="Calibri" w:cs="Calibri" w:eastAsia="Calibri" w:hAnsi="Calibri"/>
        <w:sz w:val="18"/>
        <w:szCs w:val="18"/>
      </w:rPr>
      <w:t xml:space="preserve">	</w:t>
    </w:r>
    <w:r>
      <w:rPr>
        <w:rFonts w:ascii="Calibri" w:cs="Calibri" w:eastAsia="Calibri" w:hAnsi="Calibri"/>
        <w:i/>
        <w:iCs/>
        <w:color w:val="4A5568"/>
        <w:sz w:val="18"/>
        <w:szCs w:val="18"/>
      </w:rPr>
      <w:t xml:space="preserve">ICC-Kenya  ·  Partner Engagement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8860B"/>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Georgia" w:cs="Georgia" w:eastAsia="Georgia" w:hAnsi="Georgia"/>
      <w:b/>
      <w:bCs/>
      <w:color w:val="1A2A44"/>
      <w:sz w:val="36"/>
      <w:szCs w:val="36"/>
    </w:rPr>
  </w:style>
  <w:style w:type="paragraph" w:styleId="Heading2">
    <w:name w:val="Heading 2"/>
    <w:basedOn w:val="Normal"/>
    <w:next w:val="Normal"/>
    <w:qFormat/>
    <w:pPr>
      <w:spacing w:after="120" w:before="260"/>
      <w:outlineLvl w:val="1"/>
    </w:pPr>
    <w:rPr>
      <w:rFonts w:ascii="Georgia" w:cs="Georgia" w:eastAsia="Georgia" w:hAnsi="Georgia"/>
      <w:b/>
      <w:bCs/>
      <w:color w:val="1A2A44"/>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1A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WeDeliver — Concept Note</dc:title>
  <dc:creator>ICC-Kenya Secretariat</dc:creator>
  <cp:lastModifiedBy>Un-named</cp:lastModifiedBy>
  <cp:revision>1</cp:revision>
  <dcterms:created xsi:type="dcterms:W3CDTF">2026-05-10T04:34:48.932Z</dcterms:created>
  <dcterms:modified xsi:type="dcterms:W3CDTF">2026-05-10T04:34:48.948Z</dcterms:modified>
</cp:coreProperties>
</file>

<file path=docProps/custom.xml><?xml version="1.0" encoding="utf-8"?>
<Properties xmlns="http://schemas.openxmlformats.org/officeDocument/2006/custom-properties" xmlns:vt="http://schemas.openxmlformats.org/officeDocument/2006/docPropsVTypes"/>
</file>