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Calibri" w:hAnsi="Calibri" w:cs="Calibri"/>
          <w:b/>
          <w:i w:val="0"/>
          <w:caps/>
          <w:color w:val="6E1418"/>
          <w:sz w:val="20"/>
        </w:rPr>
        <w:t>BOARD BRIEFING</w:t>
      </w:r>
    </w:p>
    <w:p>
      <w:pPr>
        <w:spacing w:after="360" w:before="0"/>
        <w:jc w:val="left"/>
      </w:pPr>
      <w:r>
        <w:rPr>
          <w:rFonts w:ascii="Calibri" w:hAnsi="Calibri" w:cs="Calibri"/>
          <w:b w:val="0"/>
          <w:i/>
          <w:color w:val="555555"/>
          <w:sz w:val="22"/>
        </w:rPr>
        <w:t>Synthesised from a Solva develop strategy session</w:t>
      </w:r>
    </w:p>
    <w:p>
      <w:pPr>
        <w:spacing w:after="200" w:before="0"/>
        <w:jc w:val="left"/>
      </w:pPr>
      <w:r>
        <w:rPr>
          <w:rFonts w:ascii="Georgia" w:hAnsi="Georgia" w:cs="Georgia"/>
          <w:b/>
          <w:i w:val="0"/>
          <w:color w:val="0E0E0E"/>
          <w:sz w:val="56"/>
        </w:rPr>
        <w:t>Strategy Memo: Should we expand into the Nairobi healthcare market by Q3 2026 given o…</w:t>
      </w:r>
    </w:p>
    <w:p>
      <w:pPr>
        <w:spacing w:after="360" w:before="0"/>
        <w:jc w:val="left"/>
      </w:pPr>
      <w:r>
        <w:rPr>
          <w:rFonts w:ascii="Calibri" w:hAnsi="Calibri" w:cs="Calibri"/>
          <w:b w:val="0"/>
          <w:i w:val="0"/>
          <w:color w:val="0E0E0E"/>
          <w:sz w:val="24"/>
        </w:rPr>
        <w:t>Should we expand into the Nairobi healthcare market by Q3 2026 given our 30M USD facility, with the board and CFO supporting and a 12-month payback decision criterion. The Q1 2026 board memo and audit report frame the constraint.</w:t>
      </w:r>
    </w:p>
    <w:p>
      <w:pPr>
        <w:spacing w:after="360" w:before="0"/>
        <w:jc w:val="left"/>
      </w:pPr>
      <w:r>
        <w:rPr>
          <w:rFonts w:ascii="Calibri" w:hAnsi="Calibri" w:cs="Calibri"/>
          <w:b/>
          <w:i w:val="0"/>
          <w:caps/>
          <w:color w:val="6E1418"/>
          <w:sz w:val="24"/>
        </w:rPr>
        <w:t>FRAME · WEIGH · COMMIT</w:t>
      </w:r>
    </w:p>
    <w:p>
      <w:pPr>
        <w:spacing w:after="40" w:before="0"/>
        <w:jc w:val="left"/>
      </w:pPr>
      <w:r>
        <w:rPr>
          <w:rFonts w:ascii="Calibri" w:hAnsi="Calibri" w:cs="Calibri"/>
          <w:b/>
          <w:i w:val="0"/>
          <w:caps/>
          <w:color w:val="555555"/>
          <w:sz w:val="18"/>
        </w:rPr>
        <w:t>HOSTED BY</w:t>
      </w:r>
    </w:p>
    <w:p>
      <w:pPr>
        <w:spacing w:after="280" w:before="0"/>
        <w:jc w:val="left"/>
      </w:pPr>
      <w:r>
        <w:rPr>
          <w:rFonts w:ascii="Georgia" w:hAnsi="Georgia" w:cs="Georgia"/>
          <w:b w:val="0"/>
          <w:i w:val="0"/>
          <w:color w:val="0E0E0E"/>
          <w:sz w:val="24"/>
        </w:rPr>
        <w:t>Syni Industries · Board Briefing</w:t>
      </w:r>
    </w:p>
    <w:p>
      <w:pPr>
        <w:spacing w:after="280" w:before="0"/>
        <w:jc w:val="left"/>
      </w:pPr>
      <w:r>
        <w:rPr>
          <w:rFonts w:ascii="Calibri" w:hAnsi="Calibri" w:cs="Calibri"/>
          <w:b w:val="0"/>
          <w:i w:val="0"/>
          <w:color w:val="555555"/>
          <w:sz w:val="20"/>
        </w:rPr>
        <w:t>Document version: v1.0  ·  Audience: Board, executive team, and named sponsors</w:t>
      </w:r>
    </w:p>
    <w:p>
      <w:r>
        <w:br w:type="page"/>
      </w:r>
    </w:p>
    <w:p>
      <w:pPr>
        <w:spacing w:after="40" w:before="360"/>
        <w:jc w:val="left"/>
      </w:pPr>
      <w:r>
        <w:rPr>
          <w:rFonts w:ascii="Calibri" w:hAnsi="Calibri" w:cs="Calibri"/>
          <w:b/>
          <w:i w:val="0"/>
          <w:caps/>
          <w:color w:val="6E1418"/>
          <w:sz w:val="20"/>
        </w:rPr>
        <w:t>§ 1</w:t>
      </w:r>
    </w:p>
    <w:p>
      <w:pPr>
        <w:spacing w:after="160" w:before="0"/>
        <w:jc w:val="left"/>
      </w:pPr>
      <w:r>
        <w:rPr>
          <w:rFonts w:ascii="Georgia" w:hAnsi="Georgia" w:cs="Georgia"/>
          <w:b/>
          <w:i w:val="0"/>
          <w:color w:val="0E0E0E"/>
          <w:sz w:val="36"/>
        </w:rPr>
        <w:t>The framing</w:t>
      </w:r>
    </w:p>
    <w:p>
      <w:pPr>
        <w:spacing w:after="80" w:before="0"/>
        <w:jc w:val="left"/>
      </w:pPr>
      <w:r>
        <w:rPr>
          <w:rFonts w:ascii="Calibri" w:hAnsi="Calibri" w:cs="Calibri"/>
          <w:b/>
          <w:i w:val="0"/>
          <w:caps/>
          <w:color w:val="555555"/>
          <w:sz w:val="18"/>
        </w:rPr>
        <w:t>WHY THIS MATTERS</w:t>
      </w:r>
    </w:p>
    <w:p>
      <w:pPr>
        <w:spacing w:after="160" w:before="0"/>
        <w:jc w:val="left"/>
      </w:pPr>
      <w:r>
        <w:rPr>
          <w:rFonts w:ascii="Calibri" w:hAnsi="Calibri" w:cs="Calibri"/>
          <w:b w:val="0"/>
          <w:i w:val="0"/>
          <w:color w:val="0E0E0E"/>
          <w:sz w:val="22"/>
        </w:rPr>
        <w:t>Should we expand into the Nairobi healthcare market by Q3 2026 given our 30M USD facility, with the board and CFO supporting and a 12-month payback decision criterion. The Q1 2026 board memo and audit report frame the constraint.</w:t>
      </w:r>
    </w:p>
    <w:p>
      <w:pPr>
        <w:pBdr>
          <w:bottom w:val="single" w:sz="4" w:color="C8C8C8"/>
        </w:pBdr>
      </w:pPr>
    </w:p>
    <w:p>
      <w:pPr>
        <w:spacing w:after="40" w:before="360"/>
        <w:jc w:val="left"/>
      </w:pPr>
      <w:r>
        <w:rPr>
          <w:rFonts w:ascii="Calibri" w:hAnsi="Calibri" w:cs="Calibri"/>
          <w:b/>
          <w:i w:val="0"/>
          <w:caps/>
          <w:color w:val="6E1418"/>
          <w:sz w:val="20"/>
        </w:rPr>
        <w:t>§ 2</w:t>
      </w:r>
    </w:p>
    <w:p>
      <w:pPr>
        <w:spacing w:after="160" w:before="0"/>
        <w:jc w:val="left"/>
      </w:pPr>
      <w:r>
        <w:rPr>
          <w:rFonts w:ascii="Georgia" w:hAnsi="Georgia" w:cs="Georgia"/>
          <w:b/>
          <w:i w:val="0"/>
          <w:color w:val="0E0E0E"/>
          <w:sz w:val="36"/>
        </w:rPr>
        <w:t>The starting position</w:t>
      </w:r>
    </w:p>
    <w:p>
      <w:pPr>
        <w:spacing w:after="80" w:before="0"/>
        <w:jc w:val="left"/>
      </w:pPr>
      <w:r>
        <w:rPr>
          <w:rFonts w:ascii="Calibri" w:hAnsi="Calibri" w:cs="Calibri"/>
          <w:b/>
          <w:i w:val="0"/>
          <w:caps/>
          <w:color w:val="555555"/>
          <w:sz w:val="18"/>
        </w:rPr>
        <w:t>CURRENT STATE</w:t>
      </w:r>
    </w:p>
    <w:p>
      <w:pPr>
        <w:spacing w:after="160" w:before="0"/>
        <w:jc w:val="left"/>
      </w:pPr>
      <w:r>
        <w:rPr>
          <w:rFonts w:ascii="Calibri" w:hAnsi="Calibri" w:cs="Calibri"/>
          <w:b w:val="0"/>
          <w:i w:val="0"/>
          <w:color w:val="0E0E0E"/>
          <w:sz w:val="22"/>
        </w:rPr>
        <w:t>We're beyond whether to expand — we're diagnosing whether this board can actually decide it [T:user_assertion]. The [DATE_3] board meeting approved "exploration," but the [DATE_3] audit revealed domestic margin compression, and no one paused to reconcile those two facts [T:corpus]. That's not a strategy gap; it's a governance failure [T:domain_prior].</w:t>
      </w:r>
    </w:p>
    <w:p>
      <w:pPr>
        <w:pBdr>
          <w:bottom w:val="single" w:sz="4" w:color="C8C8C8"/>
        </w:pBdr>
      </w:pPr>
    </w:p>
    <w:p>
      <w:pPr>
        <w:spacing w:after="40" w:before="360"/>
        <w:jc w:val="left"/>
      </w:pPr>
      <w:r>
        <w:rPr>
          <w:rFonts w:ascii="Calibri" w:hAnsi="Calibri" w:cs="Calibri"/>
          <w:b/>
          <w:i w:val="0"/>
          <w:caps/>
          <w:color w:val="6E1418"/>
          <w:sz w:val="20"/>
        </w:rPr>
        <w:t>§ 3</w:t>
      </w:r>
    </w:p>
    <w:p>
      <w:pPr>
        <w:spacing w:after="160" w:before="0"/>
        <w:jc w:val="left"/>
      </w:pPr>
      <w:r>
        <w:rPr>
          <w:rFonts w:ascii="Georgia" w:hAnsi="Georgia" w:cs="Georgia"/>
          <w:b/>
          <w:i w:val="0"/>
          <w:color w:val="0E0E0E"/>
          <w:sz w:val="36"/>
        </w:rPr>
        <w:t>What we found — first read</w:t>
      </w:r>
    </w:p>
    <w:p>
      <w:pPr>
        <w:spacing w:after="80" w:before="0"/>
        <w:jc w:val="left"/>
      </w:pPr>
      <w:r>
        <w:rPr>
          <w:rFonts w:ascii="Calibri" w:hAnsi="Calibri" w:cs="Calibri"/>
          <w:b/>
          <w:i w:val="0"/>
          <w:caps/>
          <w:color w:val="555555"/>
          <w:sz w:val="18"/>
        </w:rPr>
        <w:t>THE EVIDENCE</w:t>
      </w:r>
    </w:p>
    <w:p>
      <w:pPr>
        <w:spacing w:after="160" w:before="0"/>
        <w:jc w:val="left"/>
      </w:pPr>
      <w:r>
        <w:rPr>
          <w:rFonts w:ascii="Calibri" w:hAnsi="Calibri" w:cs="Calibri"/>
          <w:b w:val="0"/>
          <w:i w:val="0"/>
          <w:color w:val="0E0E0E"/>
          <w:sz w:val="22"/>
        </w:rPr>
        <w:t>The pattern reads clearly: the [TITLE_1] has named diversification as priority one, the [ORG_1] is sponsoring, and the board gave a green light to explore without binding the exploration to decision criteria [T:corpus]. A comparable mid-cap bank had the same structure — three meetings, same NED dominating, chair never redirecting [T:comparable]. The board wasn't deciding; it was performing deliberation [T:comparable]. Your board may be doing the same [T:speculation]. The 30M facility and [DATE_2] payback window are real constraints, but they're being handled as parameters in a model rather than as binding conditions that force trade-offs [T:domain_prior]. When governance is captured by proponents — even well-intentioned ones — capital allocation decisions drift toward the path of least resistance [T:domain_prior].</w:t>
      </w:r>
    </w:p>
    <w:p>
      <w:pPr>
        <w:spacing w:after="160" w:before="0"/>
        <w:jc w:val="left"/>
      </w:pPr>
      <w:r>
        <w:rPr>
          <w:rFonts w:ascii="Calibri" w:hAnsi="Calibri" w:cs="Calibri"/>
          <w:b w:val="0"/>
          <w:i w:val="0"/>
          <w:color w:val="0E0E0E"/>
          <w:sz w:val="22"/>
        </w:rPr>
        <w:t>The binding constraint here is **composition and chairing**: the board has no effective counterweight to the [ORG_1]-[TITLE_1] axis, and the chair isn't creating the conditions for genuine challenge [T:speculation]. The audit findings should have triggered a pause; instead, they were filed [T:corpus]. That's not a process problem you fix with better papers — it's a structural problem in who holds standing to question the premise [T:domain_prior].</w:t>
      </w:r>
    </w:p>
    <w:p>
      <w:pPr>
        <w:pBdr>
          <w:bottom w:val="single" w:sz="4" w:color="C8C8C8"/>
        </w:pBdr>
      </w:pPr>
    </w:p>
    <w:p>
      <w:pPr>
        <w:spacing w:after="40" w:before="360"/>
        <w:jc w:val="left"/>
      </w:pPr>
      <w:r>
        <w:rPr>
          <w:rFonts w:ascii="Calibri" w:hAnsi="Calibri" w:cs="Calibri"/>
          <w:b/>
          <w:i w:val="0"/>
          <w:caps/>
          <w:color w:val="6E1418"/>
          <w:sz w:val="20"/>
        </w:rPr>
        <w:t>§ 4</w:t>
      </w:r>
    </w:p>
    <w:p>
      <w:pPr>
        <w:spacing w:after="160" w:before="0"/>
        <w:jc w:val="left"/>
      </w:pPr>
      <w:r>
        <w:rPr>
          <w:rFonts w:ascii="Georgia" w:hAnsi="Georgia" w:cs="Georgia"/>
          <w:b/>
          <w:i w:val="0"/>
          <w:color w:val="0E0E0E"/>
          <w:sz w:val="36"/>
        </w:rPr>
        <w:t>What we found — second read</w:t>
      </w:r>
    </w:p>
    <w:p>
      <w:pPr>
        <w:spacing w:after="80" w:before="0"/>
        <w:jc w:val="left"/>
      </w:pPr>
      <w:r>
        <w:rPr>
          <w:rFonts w:ascii="Calibri" w:hAnsi="Calibri" w:cs="Calibri"/>
          <w:b/>
          <w:i w:val="0"/>
          <w:caps/>
          <w:color w:val="555555"/>
          <w:sz w:val="18"/>
        </w:rPr>
        <w:t>THE EVIDENCE</w:t>
      </w:r>
    </w:p>
    <w:p>
      <w:pPr>
        <w:spacing w:after="160" w:before="0"/>
        <w:jc w:val="left"/>
      </w:pPr>
      <w:r>
        <w:rPr>
          <w:rFonts w:ascii="Calibri" w:hAnsi="Calibri" w:cs="Calibri"/>
          <w:b w:val="0"/>
          <w:i w:val="0"/>
          <w:color w:val="0E0E0E"/>
          <w:sz w:val="22"/>
        </w:rPr>
        <w:t>**Recommendation 1:** Require the chair to commission a pre-commitment review by an independent NED (not the [ORG_1]) that reconciles the [DATE_3] audit margin findings with the [LOC_1] expansion case, deliverable within 30 days [T:domain_prior].</w:t>
      </w:r>
    </w:p>
    <w:p>
      <w:pPr>
        <w:spacing w:after="160" w:before="0"/>
        <w:jc w:val="left"/>
      </w:pPr>
      <w:r>
        <w:rPr>
          <w:rFonts w:ascii="Calibri" w:hAnsi="Calibri" w:cs="Calibri"/>
          <w:b w:val="0"/>
          <w:i w:val="0"/>
          <w:color w:val="0E0E0E"/>
          <w:sz w:val="22"/>
        </w:rPr>
        <w:t>**Recommendation 2:** Structure the next board session with a formal "red team" segment where one NED is assigned to argue the case *against* expansion, with equal floor time to the [ORG_1] presentation [T:comparable].</w:t>
      </w:r>
    </w:p>
    <w:p>
      <w:pPr>
        <w:pBdr>
          <w:bottom w:val="single" w:sz="4" w:color="C8C8C8"/>
        </w:pBdr>
      </w:pPr>
    </w:p>
    <w:p>
      <w:pPr>
        <w:spacing w:after="40" w:before="360"/>
        <w:jc w:val="left"/>
      </w:pPr>
      <w:r>
        <w:rPr>
          <w:rFonts w:ascii="Calibri" w:hAnsi="Calibri" w:cs="Calibri"/>
          <w:b/>
          <w:i w:val="0"/>
          <w:caps/>
          <w:color w:val="6E1418"/>
          <w:sz w:val="20"/>
        </w:rPr>
        <w:t>§ 5</w:t>
      </w:r>
    </w:p>
    <w:p>
      <w:pPr>
        <w:spacing w:after="160" w:before="0"/>
        <w:jc w:val="left"/>
      </w:pPr>
      <w:r>
        <w:rPr>
          <w:rFonts w:ascii="Georgia" w:hAnsi="Georgia" w:cs="Georgia"/>
          <w:b/>
          <w:i w:val="0"/>
          <w:color w:val="0E0E0E"/>
          <w:sz w:val="36"/>
        </w:rPr>
        <w:t>Where the weight sits</w:t>
      </w:r>
    </w:p>
    <w:p>
      <w:pPr>
        <w:spacing w:after="80" w:before="0"/>
        <w:jc w:val="left"/>
      </w:pPr>
      <w:r>
        <w:rPr>
          <w:rFonts w:ascii="Calibri" w:hAnsi="Calibri" w:cs="Calibri"/>
          <w:b/>
          <w:i w:val="0"/>
          <w:caps/>
          <w:color w:val="555555"/>
          <w:sz w:val="18"/>
        </w:rPr>
        <w:t>ANALYSIS</w:t>
      </w:r>
    </w:p>
    <w:p>
      <w:pPr>
        <w:spacing w:after="160" w:before="0"/>
        <w:jc w:val="left"/>
      </w:pPr>
      <w:r>
        <w:rPr>
          <w:rFonts w:ascii="Calibri" w:hAnsi="Calibri" w:cs="Calibri"/>
          <w:b w:val="0"/>
          <w:i w:val="0"/>
          <w:color w:val="0E0E0E"/>
          <w:sz w:val="22"/>
        </w:rPr>
        <w:t>**Recommendation 3:** Set a binding go/no-go gate at [DATE_4] that requires unanimous board approval to proceed beyond exploratory spend, with explicit criteria tied to the audit findings [T:domain_prior].</w:t>
      </w:r>
    </w:p>
    <w:p>
      <w:pPr>
        <w:spacing w:after="160" w:before="0"/>
        <w:jc w:val="left"/>
      </w:pPr>
      <w:r>
        <w:rPr>
          <w:rFonts w:ascii="Calibri" w:hAnsi="Calibri" w:cs="Calibri"/>
          <w:b w:val="0"/>
          <w:i w:val="0"/>
          <w:color w:val="0E0E0E"/>
          <w:sz w:val="22"/>
        </w:rPr>
        <w:t>What standing does the audit chair have in this conversation?</w:t>
      </w:r>
    </w:p>
    <w:p>
      <w:pPr>
        <w:pBdr>
          <w:bottom w:val="single" w:sz="4" w:color="C8C8C8"/>
        </w:pBdr>
      </w:pPr>
    </w:p>
    <w:p>
      <w:pPr>
        <w:spacing w:after="40" w:before="360"/>
        <w:jc w:val="left"/>
      </w:pPr>
      <w:r>
        <w:rPr>
          <w:rFonts w:ascii="Calibri" w:hAnsi="Calibri" w:cs="Calibri"/>
          <w:b/>
          <w:i w:val="0"/>
          <w:caps/>
          <w:color w:val="6E1418"/>
          <w:sz w:val="20"/>
        </w:rPr>
        <w:t>§ 6</w:t>
      </w:r>
    </w:p>
    <w:p>
      <w:pPr>
        <w:spacing w:after="160" w:before="0"/>
        <w:jc w:val="left"/>
      </w:pPr>
      <w:r>
        <w:rPr>
          <w:rFonts w:ascii="Georgia" w:hAnsi="Georgia" w:cs="Georgia"/>
          <w:b/>
          <w:i w:val="0"/>
          <w:color w:val="0E0E0E"/>
          <w:sz w:val="36"/>
        </w:rPr>
        <w:t>Tensions surfaced</w:t>
      </w:r>
    </w:p>
    <w:p>
      <w:pPr>
        <w:spacing w:after="80" w:before="0"/>
        <w:jc w:val="left"/>
      </w:pPr>
      <w:r>
        <w:rPr>
          <w:rFonts w:ascii="Calibri" w:hAnsi="Calibri" w:cs="Calibri"/>
          <w:b/>
          <w:i w:val="0"/>
          <w:caps/>
          <w:color w:val="555555"/>
          <w:sz w:val="18"/>
        </w:rPr>
        <w:t>WHERE IT HURTS</w:t>
      </w:r>
    </w:p>
    <w:p>
      <w:pPr>
        <w:pBdr>
          <w:bottom w:val="single" w:sz="4" w:color="C8C8C8"/>
        </w:pBdr>
      </w:pPr>
    </w:p>
    <w:p>
      <w:pPr>
        <w:spacing w:after="40" w:before="360"/>
        <w:jc w:val="left"/>
      </w:pPr>
      <w:r>
        <w:rPr>
          <w:rFonts w:ascii="Calibri" w:hAnsi="Calibri" w:cs="Calibri"/>
          <w:b/>
          <w:i w:val="0"/>
          <w:caps/>
          <w:color w:val="6E1418"/>
          <w:sz w:val="20"/>
        </w:rPr>
        <w:t>§ 7</w:t>
      </w:r>
    </w:p>
    <w:p>
      <w:pPr>
        <w:spacing w:after="160" w:before="0"/>
        <w:jc w:val="left"/>
      </w:pPr>
      <w:r>
        <w:rPr>
          <w:rFonts w:ascii="Georgia" w:hAnsi="Georgia" w:cs="Georgia"/>
          <w:b/>
          <w:i w:val="0"/>
          <w:color w:val="0E0E0E"/>
          <w:sz w:val="36"/>
        </w:rPr>
        <w:t>Claim cadence</w:t>
      </w:r>
    </w:p>
    <w:p>
      <w:pPr>
        <w:spacing w:after="80" w:before="0"/>
        <w:jc w:val="left"/>
      </w:pPr>
      <w:r>
        <w:rPr>
          <w:rFonts w:ascii="Calibri" w:hAnsi="Calibri" w:cs="Calibri"/>
          <w:b/>
          <w:i w:val="0"/>
          <w:caps/>
          <w:color w:val="555555"/>
          <w:sz w:val="18"/>
        </w:rPr>
        <w:t>WHAT TO TRACK</w:t>
      </w:r>
    </w:p>
    <w:p>
      <w:pPr>
        <w:spacing w:after="80" w:before="160"/>
        <w:jc w:val="left"/>
      </w:pPr>
      <w:r>
        <w:rPr>
          <w:rFonts w:ascii="Calibri" w:hAnsi="Calibri" w:cs="Calibri"/>
          <w:b/>
          <w:i w:val="0"/>
          <w:caps/>
          <w:color w:val="6E1418"/>
          <w:sz w:val="18"/>
        </w:rPr>
        <w:t>CLAIM CADENCE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E0E0E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CLAIM</w:t>
            </w:r>
          </w:p>
        </w:tc>
        <w:tc>
          <w:tcPr>
            <w:tcW w:type="dxa" w:w="2340"/>
            <w:shd w:val="clear" w:color="auto" w:fill="0E0E0E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BASELINE</w:t>
            </w:r>
          </w:p>
        </w:tc>
        <w:tc>
          <w:tcPr>
            <w:tcW w:type="dxa" w:w="2340"/>
            <w:shd w:val="clear" w:color="auto" w:fill="0E0E0E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2340"/>
            <w:shd w:val="clear" w:color="auto" w:fill="0E0E0E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CADENCE · TIER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We're beyond whether to expand — we're diagnosing whether…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Per cycle · user_assertion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The [DATE_3] board meeting approved "exploration," but th…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Per cycle · corpus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That's not a strategy gap; it's a governance failure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Per cycle · domain_prior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The pattern reads clearly: the [TITLE_1] has named divers…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Per cycle · corpus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A comparable mid-cap bank had the same structure — three …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Per cycle · comparable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The board wasn't deciding; it was performing deliberation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Per cycle · comparable</w:t>
            </w:r>
          </w:p>
        </w:tc>
      </w:tr>
    </w:tbl>
    <w:p/>
    <w:p>
      <w:pPr>
        <w:pBdr>
          <w:bottom w:val="single" w:sz="4" w:color="C8C8C8"/>
        </w:pBdr>
      </w:pPr>
    </w:p>
    <w:p>
      <w:pPr>
        <w:spacing w:after="40" w:before="360"/>
        <w:jc w:val="left"/>
      </w:pPr>
      <w:r>
        <w:rPr>
          <w:rFonts w:ascii="Calibri" w:hAnsi="Calibri" w:cs="Calibri"/>
          <w:b/>
          <w:i w:val="0"/>
          <w:caps/>
          <w:color w:val="6E1418"/>
          <w:sz w:val="20"/>
        </w:rPr>
        <w:t>§ 8</w:t>
      </w:r>
    </w:p>
    <w:p>
      <w:pPr>
        <w:spacing w:after="160" w:before="0"/>
        <w:jc w:val="left"/>
      </w:pPr>
      <w:r>
        <w:rPr>
          <w:rFonts w:ascii="Georgia" w:hAnsi="Georgia" w:cs="Georgia"/>
          <w:b/>
          <w:i w:val="0"/>
          <w:color w:val="0E0E0E"/>
          <w:sz w:val="36"/>
        </w:rPr>
        <w:t>Recommended call</w:t>
      </w:r>
    </w:p>
    <w:p>
      <w:pPr>
        <w:spacing w:after="80" w:before="0"/>
        <w:jc w:val="left"/>
      </w:pPr>
      <w:r>
        <w:rPr>
          <w:rFonts w:ascii="Calibri" w:hAnsi="Calibri" w:cs="Calibri"/>
          <w:b/>
          <w:i w:val="0"/>
          <w:caps/>
          <w:color w:val="555555"/>
          <w:sz w:val="18"/>
        </w:rPr>
        <w:t>THE RECOMMENDATION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0E0E0E"/>
          <w:sz w:val="22"/>
        </w:rPr>
        <w:t>Recommendation 1: Require the chair to commission a pre-commitment review by an independent NED (not the [ORG_1]) that reconciles the [DATE_3] audit margin findings with the [LOC_1] expansion case, deliverable within 30 days [T:domain_prior].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0E0E0E"/>
          <w:sz w:val="22"/>
        </w:rPr>
        <w:t>Recommendation 2: Structure the next board session with a formal "red team" segment where one NED is assigned to argue the case *against* expansion, with equal floor time to the [ORG_1] presentation [T:comparable].</w:t>
      </w:r>
    </w:p>
    <w:p>
      <w:pPr>
        <w:pStyle w:val="ListBullet"/>
        <w:spacing w:after="40"/>
      </w:pPr>
      <w:r>
        <w:rPr>
          <w:rFonts w:ascii="Calibri" w:hAnsi="Calibri" w:cs="Calibri"/>
          <w:b w:val="0"/>
          <w:i w:val="0"/>
          <w:color w:val="0E0E0E"/>
          <w:sz w:val="22"/>
        </w:rPr>
        <w:t>Recommendation 3: Set a binding go/no-go gate at [DATE_4] that requires unanimous board approval to proceed beyond exploratory spend, with explicit criteria tied to the audit findings [T:domain_prior].</w:t>
      </w:r>
    </w:p>
    <w:p>
      <w:pPr>
        <w:pBdr>
          <w:bottom w:val="single" w:sz="4" w:color="C8C8C8"/>
        </w:pBdr>
      </w:pPr>
    </w:p>
    <w:p>
      <w:pPr>
        <w:spacing w:after="40" w:before="360"/>
        <w:jc w:val="left"/>
      </w:pPr>
      <w:r>
        <w:rPr>
          <w:rFonts w:ascii="Calibri" w:hAnsi="Calibri" w:cs="Calibri"/>
          <w:b/>
          <w:i w:val="0"/>
          <w:caps/>
          <w:color w:val="6E1418"/>
          <w:sz w:val="20"/>
        </w:rPr>
        <w:t>§ 9</w:t>
      </w:r>
    </w:p>
    <w:p>
      <w:pPr>
        <w:spacing w:after="160" w:before="0"/>
        <w:jc w:val="left"/>
      </w:pPr>
      <w:r>
        <w:rPr>
          <w:rFonts w:ascii="Georgia" w:hAnsi="Georgia" w:cs="Georgia"/>
          <w:b/>
          <w:i w:val="0"/>
          <w:color w:val="0E0E0E"/>
          <w:sz w:val="36"/>
        </w:rPr>
        <w:t>What gets done</w:t>
      </w:r>
    </w:p>
    <w:p>
      <w:pPr>
        <w:spacing w:after="80" w:before="0"/>
        <w:jc w:val="left"/>
      </w:pPr>
      <w:r>
        <w:rPr>
          <w:rFonts w:ascii="Calibri" w:hAnsi="Calibri" w:cs="Calibri"/>
          <w:b/>
          <w:i w:val="0"/>
          <w:caps/>
          <w:color w:val="555555"/>
          <w:sz w:val="18"/>
        </w:rPr>
        <w:t>ACTION</w:t>
      </w:r>
    </w:p>
    <w:p>
      <w:pPr>
        <w:spacing w:after="80" w:before="160"/>
        <w:jc w:val="left"/>
      </w:pPr>
      <w:r>
        <w:rPr>
          <w:rFonts w:ascii="Calibri" w:hAnsi="Calibri" w:cs="Calibri"/>
          <w:b/>
          <w:i w:val="0"/>
          <w:caps/>
          <w:color w:val="6E1418"/>
          <w:sz w:val="18"/>
        </w:rPr>
        <w:t>WHAT GETS DONE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E0E0E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0E0E0E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WHAT</w:t>
            </w:r>
          </w:p>
        </w:tc>
        <w:tc>
          <w:tcPr>
            <w:tcW w:type="dxa" w:w="1872"/>
            <w:shd w:val="clear" w:color="auto" w:fill="0E0E0E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WHY IT MATTERS</w:t>
            </w:r>
          </w:p>
        </w:tc>
        <w:tc>
          <w:tcPr>
            <w:tcW w:type="dxa" w:w="1872"/>
            <w:shd w:val="clear" w:color="auto" w:fill="0E0E0E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872"/>
            <w:shd w:val="clear" w:color="auto" w:fill="0E0E0E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BY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Require the chair to commission a pre-commitment review by an independent NED (not the [OR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Sponsor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Next cycle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Structure the next board session with a formal "red team" segment where one NED is assigne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Sponsor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Next cycle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 xml:space="preserve">Set a binding go/no-go gate at [DATE_4] that requires unanimous board approval to proceed 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Sponsor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cs="Calibri"/>
                <w:b w:val="0"/>
                <w:i w:val="0"/>
                <w:color w:val="0E0E0E"/>
                <w:sz w:val="20"/>
              </w:rPr>
              <w:t>Next cycle</w:t>
            </w:r>
          </w:p>
        </w:tc>
      </w:tr>
    </w:tbl>
    <w:p/>
    <w:p>
      <w:pPr>
        <w:pBdr>
          <w:bottom w:val="single" w:sz="4" w:color="C8C8C8"/>
        </w:pBdr>
      </w:pPr>
    </w:p>
    <w:p>
      <w:pPr>
        <w:spacing w:after="40" w:before="360"/>
        <w:jc w:val="left"/>
      </w:pPr>
      <w:r>
        <w:rPr>
          <w:rFonts w:ascii="Calibri" w:hAnsi="Calibri" w:cs="Calibri"/>
          <w:b/>
          <w:i w:val="0"/>
          <w:caps/>
          <w:color w:val="6E1418"/>
          <w:sz w:val="20"/>
        </w:rPr>
        <w:t>§ 10</w:t>
      </w:r>
    </w:p>
    <w:p>
      <w:pPr>
        <w:spacing w:after="160" w:before="0"/>
        <w:jc w:val="left"/>
      </w:pPr>
      <w:r>
        <w:rPr>
          <w:rFonts w:ascii="Georgia" w:hAnsi="Georgia" w:cs="Georgia"/>
          <w:b/>
          <w:i w:val="0"/>
          <w:color w:val="0E0E0E"/>
          <w:sz w:val="36"/>
        </w:rPr>
        <w:t>Validation</w:t>
      </w:r>
    </w:p>
    <w:p>
      <w:pPr>
        <w:spacing w:after="80" w:before="0"/>
        <w:jc w:val="left"/>
      </w:pPr>
      <w:r>
        <w:rPr>
          <w:rFonts w:ascii="Calibri" w:hAnsi="Calibri" w:cs="Calibri"/>
          <w:b/>
          <w:i w:val="0"/>
          <w:caps/>
          <w:color w:val="555555"/>
          <w:sz w:val="18"/>
        </w:rPr>
        <w:t>HOW WE'RE SURE</w:t>
      </w:r>
    </w:p>
    <w:p>
      <w:pPr>
        <w:spacing w:after="160" w:before="0"/>
        <w:jc w:val="left"/>
      </w:pPr>
      <w:r>
        <w:rPr>
          <w:rFonts w:ascii="Calibri" w:hAnsi="Calibri" w:cs="Calibri"/>
          <w:b w:val="0"/>
          <w:i w:val="0"/>
          <w:color w:val="0E0E0E"/>
          <w:sz w:val="22"/>
        </w:rPr>
        <w:t>Verdict: qualified.</w:t>
      </w:r>
    </w:p>
    <w:p>
      <w:pPr>
        <w:spacing w:after="160" w:before="0"/>
        <w:jc w:val="left"/>
      </w:pPr>
      <w:r>
        <w:rPr>
          <w:rFonts w:ascii="Calibri" w:hAnsi="Calibri" w:cs="Calibri"/>
          <w:b w:val="0"/>
          <w:i w:val="0"/>
          <w:color w:val="0E0E0E"/>
          <w:sz w:val="22"/>
        </w:rPr>
        <w:t>Confidence: 85%.</w:t>
      </w:r>
    </w:p>
    <w:p>
      <w:pPr>
        <w:spacing w:after="160" w:before="0"/>
        <w:jc w:val="left"/>
      </w:pPr>
      <w:r>
        <w:rPr>
          <w:rFonts w:ascii="Calibri" w:hAnsi="Calibri" w:cs="Calibri"/>
          <w:b w:val="0"/>
          <w:i w:val="0"/>
          <w:color w:val="0E0E0E"/>
          <w:sz w:val="22"/>
        </w:rPr>
        <w:t>Validator: gemini (gemini-2.5-flash).</w:t>
      </w:r>
    </w:p>
    <w:p>
      <w:pPr>
        <w:spacing w:after="160" w:before="0"/>
        <w:jc w:val="left"/>
      </w:pPr>
      <w:r>
        <w:rPr>
          <w:rFonts w:ascii="Calibri" w:hAnsi="Calibri" w:cs="Calibri"/>
          <w:b w:val="0"/>
          <w:i w:val="0"/>
          <w:color w:val="0E0E0E"/>
          <w:sz w:val="22"/>
        </w:rPr>
        <w:t>Diagnosis of board structure overreaches current grounding.</w:t>
      </w:r>
    </w:p>
    <w:p>
      <w:pPr>
        <w:spacing w:after="160" w:before="0"/>
        <w:jc w:val="left"/>
      </w:pPr>
      <w:r>
        <w:rPr>
          <w:rFonts w:ascii="Calibri" w:hAnsi="Calibri" w:cs="Calibri"/>
          <w:b w:val="0"/>
          <w:i w:val="0"/>
          <w:color w:val="0E0E0E"/>
          <w:sz w:val="22"/>
        </w:rPr>
        <w:t>Tone is highly assertive/critical, not calm for executive memo.</w:t>
      </w:r>
    </w:p>
    <w:p>
      <w:pPr>
        <w:spacing w:after="160" w:before="0"/>
        <w:jc w:val="left"/>
      </w:pPr>
      <w:r>
        <w:rPr>
          <w:rFonts w:ascii="Calibri" w:hAnsi="Calibri" w:cs="Calibri"/>
          <w:b w:val="0"/>
          <w:i w:val="0"/>
          <w:color w:val="0E0E0E"/>
          <w:sz w:val="22"/>
        </w:rPr>
        <w:t>Recommendations are specific and actionable.</w:t>
      </w:r>
    </w:p>
    <w:p>
      <w:pPr>
        <w:pBdr>
          <w:bottom w:val="single" w:sz="4" w:color="C8C8C8"/>
        </w:pBdr>
      </w:pPr>
    </w:p>
    <w:p>
      <w:pPr>
        <w:spacing w:after="40" w:before="360"/>
        <w:jc w:val="left"/>
      </w:pPr>
      <w:r>
        <w:rPr>
          <w:rFonts w:ascii="Calibri" w:hAnsi="Calibri" w:cs="Calibri"/>
          <w:b/>
          <w:i w:val="0"/>
          <w:caps/>
          <w:color w:val="6E1418"/>
          <w:sz w:val="20"/>
        </w:rPr>
        <w:t>§ 11</w:t>
      </w:r>
    </w:p>
    <w:p>
      <w:pPr>
        <w:spacing w:after="160" w:before="0"/>
        <w:jc w:val="left"/>
      </w:pPr>
      <w:r>
        <w:rPr>
          <w:rFonts w:ascii="Georgia" w:hAnsi="Georgia" w:cs="Georgia"/>
          <w:b/>
          <w:i w:val="0"/>
          <w:color w:val="0E0E0E"/>
          <w:sz w:val="36"/>
        </w:rPr>
        <w:t>Provenance</w:t>
      </w:r>
    </w:p>
    <w:p>
      <w:pPr>
        <w:spacing w:after="80" w:before="0"/>
        <w:jc w:val="left"/>
      </w:pPr>
      <w:r>
        <w:rPr>
          <w:rFonts w:ascii="Calibri" w:hAnsi="Calibri" w:cs="Calibri"/>
          <w:b/>
          <w:i w:val="0"/>
          <w:caps/>
          <w:color w:val="555555"/>
          <w:sz w:val="18"/>
        </w:rPr>
        <w:t>HOW THIS WAS BUILT</w:t>
      </w:r>
    </w:p>
    <w:p>
      <w:pPr>
        <w:spacing w:after="160" w:before="0"/>
        <w:jc w:val="left"/>
      </w:pPr>
      <w:r>
        <w:rPr>
          <w:rFonts w:ascii="Calibri" w:hAnsi="Calibri" w:cs="Calibri"/>
          <w:b w:val="0"/>
          <w:i w:val="0"/>
          <w:color w:val="0E0E0E"/>
          <w:sz w:val="22"/>
        </w:rPr>
        <w:t>Source: Solva v2 session df9ffa03.</w:t>
      </w:r>
    </w:p>
    <w:p>
      <w:pPr>
        <w:spacing w:after="160" w:before="0"/>
        <w:jc w:val="left"/>
      </w:pPr>
      <w:r>
        <w:rPr>
          <w:rFonts w:ascii="Calibri" w:hAnsi="Calibri" w:cs="Calibri"/>
          <w:b w:val="0"/>
          <w:i w:val="0"/>
          <w:color w:val="0E0E0E"/>
          <w:sz w:val="22"/>
        </w:rPr>
        <w:t>Submodule: Develop Strategy.</w:t>
      </w:r>
    </w:p>
    <w:p>
      <w:pPr>
        <w:spacing w:after="160" w:before="0"/>
        <w:jc w:val="left"/>
      </w:pPr>
      <w:r>
        <w:rPr>
          <w:rFonts w:ascii="Calibri" w:hAnsi="Calibri" w:cs="Calibri"/>
          <w:b w:val="0"/>
          <w:i w:val="0"/>
          <w:color w:val="0E0E0E"/>
          <w:sz w:val="22"/>
        </w:rPr>
        <w:t>Voice: Financial Times — dry, professional, peer-toned.</w:t>
      </w:r>
    </w:p>
    <w:p>
      <w:pPr>
        <w:pBdr>
          <w:bottom w:val="single" w:sz="4" w:color="C8C8C8"/>
        </w:pBdr>
      </w:pPr>
    </w:p>
    <w:p>
      <w:pPr>
        <w:spacing w:after="80" w:before="280"/>
        <w:jc w:val="left"/>
      </w:pPr>
      <w:r>
        <w:rPr>
          <w:rFonts w:ascii="Calibri" w:hAnsi="Calibri" w:cs="Calibri"/>
          <w:b/>
          <w:i w:val="0"/>
          <w:caps/>
          <w:color w:val="6E1418"/>
          <w:sz w:val="18"/>
        </w:rPr>
        <w:t>RECAP</w:t>
      </w:r>
    </w:p>
    <w:p>
      <w:pPr>
        <w:spacing w:after="280" w:before="0"/>
        <w:jc w:val="left"/>
      </w:pPr>
      <w:r>
        <w:rPr>
          <w:rFonts w:ascii="Calibri" w:hAnsi="Calibri" w:cs="Calibri"/>
          <w:b w:val="0"/>
          <w:i w:val="0"/>
          <w:color w:val="0E0E0E"/>
          <w:sz w:val="22"/>
        </w:rPr>
        <w:t>This deep dive carries a qualified verdict at 85% confidence and was synthesised from 12 claims and 3 recommended actions.</w:t>
      </w:r>
    </w:p>
    <w:p>
      <w:pPr>
        <w:spacing w:after="0" w:before="0"/>
        <w:jc w:val="left"/>
      </w:pPr>
      <w:r>
        <w:rPr>
          <w:rFonts w:ascii="Calibri" w:hAnsi="Calibri" w:cs="Calibri"/>
          <w:b w:val="0"/>
          <w:i/>
          <w:caps/>
          <w:color w:val="555555"/>
          <w:sz w:val="20"/>
        </w:rPr>
        <w:t>SYNI INDUSTRIES · BOARD BRIEFING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