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40"/>
            </w:pPr>
            <w:r>
              <w:rPr>
                <w:rFonts w:ascii="Calibri" w:cs="Calibri" w:eastAsia="Calibri" w:hAnsi="Calibri"/>
                <w:b/>
                <w:bCs/>
                <w:color w:val="0D1B2A"/>
                <w:sz w:val="52"/>
                <w:szCs w:val="52"/>
              </w:rPr>
              <w:t xml:space="preserve">LEMASY</w:t>
            </w:r>
          </w:p>
          <w:p>
            <w:pPr>
              <w:spacing w:after="40"/>
            </w:pPr>
            <w:r>
              <w:rPr>
                <w:rFonts w:ascii="Calibri" w:cs="Calibri" w:eastAsia="Calibri" w:hAnsi="Calibri"/>
                <w:color w:val="00B4D8"/>
                <w:sz w:val="22"/>
                <w:szCs w:val="22"/>
              </w:rPr>
              <w:t xml:space="preserve">AI Intelligence Solutions</w:t>
            </w:r>
          </w:p>
          <w:p>
            <w:pPr>
              <w:spacing w:after="40"/>
            </w:pPr>
            <w:r>
              <w:rPr>
                <w:rFonts w:ascii="Calibri" w:cs="Calibri" w:eastAsia="Calibri" w:hAnsi="Calibri"/>
                <w:color w:val="7B8FA6"/>
                <w:sz w:val="18"/>
                <w:szCs w:val="18"/>
              </w:rPr>
              <w:t xml:space="preserve">Nairobi, Kenya  |  Johannesburg, South Africa</w:t>
            </w:r>
          </w:p>
        </w:tc>
        <w:tc>
          <w:tcPr>
            <w:tcW w:type="dxa" w:w="3426"/>
            <w:tcBorders>
              <w:top w:val="none" w:color="FFFFFF" w:sz="0"/>
              <w:left w:val="none" w:color="FFFFFF" w:sz="0"/>
              <w:bottom w:val="none" w:color="FFFFFF" w:sz="0"/>
              <w:right w:val="none" w:color="FFFFFF" w:sz="0"/>
            </w:tcBorders>
            <w:tcMar>
              <w:top w:type="dxa" w:w="0"/>
              <w:left w:type="dxa" w:w="200"/>
              <w:bottom w:type="dxa" w:w="0"/>
              <w:right w:type="dxa" w:w="0"/>
            </w:tcMar>
            <w:vAlign w:val="bottom"/>
          </w:tcPr>
          <w:p>
            <w:pPr>
              <w:jc w:val="right"/>
            </w:pPr>
            <w:r>
              <w:rPr>
                <w:rFonts w:ascii="Calibri" w:cs="Calibri" w:eastAsia="Calibri" w:hAnsi="Calibri"/>
                <w:b/>
                <w:bCs/>
                <w:color w:val="00B4D8"/>
                <w:sz w:val="20"/>
                <w:szCs w:val="20"/>
              </w:rPr>
              <w:t xml:space="preserve">MINUTES OF MEETING</w:t>
            </w:r>
          </w:p>
          <w:p>
            <w:pPr>
              <w:spacing w:before="40"/>
              <w:jc w:val="right"/>
            </w:pPr>
            <w:r>
              <w:rPr>
                <w:rFonts w:ascii="Calibri" w:cs="Calibri" w:eastAsia="Calibri" w:hAnsi="Calibri"/>
                <w:color w:val="7B8FA6"/>
                <w:sz w:val="18"/>
                <w:szCs w:val="18"/>
              </w:rPr>
              <w:t xml:space="preserve">Q1 2025  |  28 March 2025</w:t>
            </w:r>
          </w:p>
        </w:tc>
      </w:tr>
    </w:tbl>
    <w:p>
      <w:pPr>
        <w:pBdr>
          <w:bottom w:val="single" w:color="00B4D8" w:sz="8" w:space="1"/>
        </w:pBdr>
        <w:spacing w:after="0"/>
      </w:pPr>
    </w:p>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Date</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Friday, 28 March 2025</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Time</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09:00 – 13:20 EAT (East Africa Time)</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Venue</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Lemasy Headquarters — Boardroom, 4th Floor  |  Westlands Business Park, Nairobi, Kenya</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Chair</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Mr. Kwesi Boateng — Non-Executive Chairman</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Secretary</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Ms. Zara Ngugi Mwangi — Company Secretary</w:t>
            </w:r>
          </w:p>
        </w:tc>
      </w:tr>
    </w:tbl>
    <w:p>
      <w:pPr>
        <w:spacing w:after="200" w:before="0"/>
      </w:pPr>
    </w:p>
    <w:p>
      <w:pPr>
        <w:pStyle w:val="Heading1"/>
        <w:spacing w:after="140" w:before="400"/>
      </w:pPr>
      <w:r>
        <w:rPr>
          <w:rFonts w:ascii="Calibri" w:cs="Calibri" w:eastAsia="Calibri" w:hAnsi="Calibri"/>
          <w:b/>
          <w:bCs/>
          <w:color w:val="0D1B2A"/>
          <w:sz w:val="30"/>
          <w:szCs w:val="30"/>
        </w:rPr>
        <w:t xml:space="preserve">Attendance</w:t>
      </w:r>
    </w:p>
    <w:p>
      <w:pPr>
        <w:pStyle w:val="Heading2"/>
        <w:spacing w:after="100" w:before="280"/>
      </w:pPr>
      <w:r>
        <w:rPr>
          <w:rFonts w:ascii="Calibri" w:cs="Calibri" w:eastAsia="Calibri" w:hAnsi="Calibri"/>
          <w:b/>
          <w:bCs/>
          <w:color w:val="1E3A5F"/>
          <w:sz w:val="24"/>
          <w:szCs w:val="24"/>
        </w:rPr>
        <w:t xml:space="preserve">Board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2786"/>
      </w:tblGrid>
      <w:tr>
        <w:tc>
          <w:tcPr>
            <w:tcW w:type="dxa" w:w="312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Name</w:t>
            </w:r>
          </w:p>
        </w:tc>
        <w:tc>
          <w:tcPr>
            <w:tcW w:type="dxa" w:w="312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Designation</w:t>
            </w:r>
          </w:p>
        </w:tc>
        <w:tc>
          <w:tcPr>
            <w:tcW w:type="dxa" w:w="278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Status</w:t>
            </w:r>
          </w:p>
        </w:tc>
      </w:tr>
      <w:tr>
        <w:tc>
          <w:tcPr>
            <w:tcW w:type="dxa" w:w="312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Mr. Kwesi Boateng</w:t>
            </w:r>
          </w:p>
        </w:tc>
        <w:tc>
          <w:tcPr>
            <w:tcW w:type="dxa" w:w="312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Non-Executive Chairman</w:t>
            </w:r>
          </w:p>
        </w:tc>
        <w:tc>
          <w:tcPr>
            <w:tcW w:type="dxa" w:w="278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bCs/>
                <w:color w:val="1D7A55"/>
                <w:sz w:val="20"/>
                <w:szCs w:val="20"/>
              </w:rPr>
              <w:t xml:space="preserve">Present</w:t>
            </w:r>
          </w:p>
        </w:tc>
      </w:tr>
      <w:tr>
        <w:tc>
          <w:tcPr>
            <w:tcW w:type="dxa" w:w="31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Ms. Amara Osei-Bonsu</w:t>
            </w:r>
          </w:p>
        </w:tc>
        <w:tc>
          <w:tcPr>
            <w:tcW w:type="dxa" w:w="31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Chief Executive Officer &amp; Co-Founder</w:t>
            </w:r>
          </w:p>
        </w:tc>
        <w:tc>
          <w:tcPr>
            <w:tcW w:type="dxa" w:w="278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1D7A55"/>
                <w:sz w:val="20"/>
                <w:szCs w:val="20"/>
              </w:rPr>
              <w:t xml:space="preserve">Present</w:t>
            </w:r>
          </w:p>
        </w:tc>
      </w:tr>
      <w:tr>
        <w:tc>
          <w:tcPr>
            <w:tcW w:type="dxa" w:w="312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Mr. Kwame Asante-Mensah</w:t>
            </w:r>
          </w:p>
        </w:tc>
        <w:tc>
          <w:tcPr>
            <w:tcW w:type="dxa" w:w="312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Chief Financial Officer</w:t>
            </w:r>
          </w:p>
        </w:tc>
        <w:tc>
          <w:tcPr>
            <w:tcW w:type="dxa" w:w="278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bCs/>
                <w:color w:val="1D7A55"/>
                <w:sz w:val="20"/>
                <w:szCs w:val="20"/>
              </w:rPr>
              <w:t xml:space="preserve">Present</w:t>
            </w:r>
          </w:p>
        </w:tc>
      </w:tr>
      <w:tr>
        <w:tc>
          <w:tcPr>
            <w:tcW w:type="dxa" w:w="31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Ms. Nadia Kamau</w:t>
            </w:r>
          </w:p>
        </w:tc>
        <w:tc>
          <w:tcPr>
            <w:tcW w:type="dxa" w:w="31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Independent Non-Executive Director (Audit Committee Chair)</w:t>
            </w:r>
          </w:p>
        </w:tc>
        <w:tc>
          <w:tcPr>
            <w:tcW w:type="dxa" w:w="278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1D7A55"/>
                <w:sz w:val="20"/>
                <w:szCs w:val="20"/>
              </w:rPr>
              <w:t xml:space="preserve">Present</w:t>
            </w:r>
          </w:p>
        </w:tc>
      </w:tr>
      <w:tr>
        <w:tc>
          <w:tcPr>
            <w:tcW w:type="dxa" w:w="312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Mr. Chidi Okonkwo</w:t>
            </w:r>
          </w:p>
        </w:tc>
        <w:tc>
          <w:tcPr>
            <w:tcW w:type="dxa" w:w="312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Independent Non-Executive Director (Risk Committee Chair)</w:t>
            </w:r>
          </w:p>
        </w:tc>
        <w:tc>
          <w:tcPr>
            <w:tcW w:type="dxa" w:w="278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bCs/>
                <w:color w:val="1D7A55"/>
                <w:sz w:val="20"/>
                <w:szCs w:val="20"/>
              </w:rPr>
              <w:t xml:space="preserve">Present</w:t>
            </w:r>
          </w:p>
        </w:tc>
      </w:tr>
      <w:tr>
        <w:tc>
          <w:tcPr>
            <w:tcW w:type="dxa" w:w="31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Dr. Fatima Al-Rashid</w:t>
            </w:r>
          </w:p>
        </w:tc>
        <w:tc>
          <w:tcPr>
            <w:tcW w:type="dxa" w:w="31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Independent Non-Executive Director</w:t>
            </w:r>
          </w:p>
        </w:tc>
        <w:tc>
          <w:tcPr>
            <w:tcW w:type="dxa" w:w="278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1D7A55"/>
                <w:sz w:val="20"/>
                <w:szCs w:val="20"/>
              </w:rPr>
              <w:t xml:space="preserve">Present (via VC)</w:t>
            </w:r>
          </w:p>
        </w:tc>
      </w:tr>
      <w:tr>
        <w:tc>
          <w:tcPr>
            <w:tcW w:type="dxa" w:w="312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Ms. Zara Ngugi Mwangi</w:t>
            </w:r>
          </w:p>
        </w:tc>
        <w:tc>
          <w:tcPr>
            <w:tcW w:type="dxa" w:w="312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Company Secretary (non-voting)</w:t>
            </w:r>
          </w:p>
        </w:tc>
        <w:tc>
          <w:tcPr>
            <w:tcW w:type="dxa" w:w="278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bCs/>
                <w:color w:val="1D7A55"/>
                <w:sz w:val="20"/>
                <w:szCs w:val="20"/>
              </w:rPr>
              <w:t xml:space="preserve">Present</w:t>
            </w:r>
          </w:p>
        </w:tc>
      </w:tr>
    </w:tbl>
    <w:p>
      <w:pPr>
        <w:spacing w:after="140" w:before="0"/>
      </w:pPr>
    </w:p>
    <w:p>
      <w:pPr>
        <w:pStyle w:val="Heading2"/>
        <w:spacing w:after="100" w:before="280"/>
      </w:pPr>
      <w:r>
        <w:rPr>
          <w:rFonts w:ascii="Calibri" w:cs="Calibri" w:eastAsia="Calibri" w:hAnsi="Calibri"/>
          <w:b/>
          <w:bCs/>
          <w:color w:val="1E3A5F"/>
          <w:sz w:val="24"/>
          <w:szCs w:val="24"/>
        </w:rPr>
        <w:t xml:space="preserve">In Attendance by Invitation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2786"/>
      </w:tblGrid>
      <w:tr>
        <w:tc>
          <w:tcPr>
            <w:tcW w:type="dxa" w:w="3120"/>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Name</w:t>
            </w:r>
          </w:p>
        </w:tc>
        <w:tc>
          <w:tcPr>
            <w:tcW w:type="dxa" w:w="3120"/>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Designation</w:t>
            </w:r>
          </w:p>
        </w:tc>
        <w:tc>
          <w:tcPr>
            <w:tcW w:type="dxa" w:w="2786"/>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Agenda Items</w:t>
            </w:r>
          </w:p>
        </w:tc>
      </w:tr>
      <w:tr>
        <w:tc>
          <w:tcPr>
            <w:tcW w:type="dxa" w:w="312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Mr. Taiwo Adebisi</w:t>
            </w:r>
          </w:p>
        </w:tc>
        <w:tc>
          <w:tcPr>
            <w:tcW w:type="dxa" w:w="312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Chief Commercial Officer</w:t>
            </w:r>
          </w:p>
        </w:tc>
        <w:tc>
          <w:tcPr>
            <w:tcW w:type="dxa" w:w="278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Items 5, 6</w:t>
            </w:r>
          </w:p>
        </w:tc>
      </w:tr>
      <w:tr>
        <w:tc>
          <w:tcPr>
            <w:tcW w:type="dxa" w:w="31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Ms. Yewande Adeyemi</w:t>
            </w:r>
          </w:p>
        </w:tc>
        <w:tc>
          <w:tcPr>
            <w:tcW w:type="dxa" w:w="31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Chief People Officer</w:t>
            </w:r>
          </w:p>
        </w:tc>
        <w:tc>
          <w:tcPr>
            <w:tcW w:type="dxa" w:w="278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Item 7</w:t>
            </w:r>
          </w:p>
        </w:tc>
      </w:tr>
      <w:tr>
        <w:tc>
          <w:tcPr>
            <w:tcW w:type="dxa" w:w="312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Mr. Babajide Okafor</w:t>
            </w:r>
          </w:p>
        </w:tc>
        <w:tc>
          <w:tcPr>
            <w:tcW w:type="dxa" w:w="312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Chief Technology Officer</w:t>
            </w:r>
          </w:p>
        </w:tc>
        <w:tc>
          <w:tcPr>
            <w:tcW w:type="dxa" w:w="278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Items 5, 8</w:t>
            </w:r>
          </w:p>
        </w:tc>
      </w:tr>
      <w:tr>
        <w:tc>
          <w:tcPr>
            <w:tcW w:type="dxa" w:w="31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Mr. Rahul Sharma</w:t>
            </w:r>
          </w:p>
        </w:tc>
        <w:tc>
          <w:tcPr>
            <w:tcW w:type="dxa" w:w="31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Kimani &amp; Associates — External Legal Counsel</w:t>
            </w:r>
          </w:p>
        </w:tc>
        <w:tc>
          <w:tcPr>
            <w:tcW w:type="dxa" w:w="278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Item 9</w:t>
            </w:r>
          </w:p>
        </w:tc>
      </w:tr>
    </w:tbl>
    <w:p>
      <w:pPr>
        <w:spacing w:after="200" w:before="0"/>
      </w:pPr>
    </w:p>
    <w:p>
      <w:pPr>
        <w:pStyle w:val="Heading1"/>
        <w:spacing w:after="140" w:before="400"/>
      </w:pPr>
      <w:r>
        <w:rPr>
          <w:rFonts w:ascii="Calibri" w:cs="Calibri" w:eastAsia="Calibri" w:hAnsi="Calibri"/>
          <w:b/>
          <w:bCs/>
          <w:color w:val="0D1B2A"/>
          <w:sz w:val="30"/>
          <w:szCs w:val="30"/>
        </w:rPr>
        <w:t xml:space="preserve">Quorum</w:t>
      </w:r>
    </w:p>
    <w:p>
      <w:pPr>
        <w:spacing w:after="120" w:before="80"/>
        <w:jc w:val="both"/>
      </w:pPr>
      <w:r>
        <w:rPr>
          <w:rFonts w:ascii="Calibri" w:cs="Calibri" w:eastAsia="Calibri" w:hAnsi="Calibri"/>
          <w:b w:val="false"/>
          <w:bCs w:val="false"/>
          <w:color w:val="1A1A2E"/>
          <w:sz w:val="22"/>
          <w:szCs w:val="22"/>
        </w:rPr>
        <w:t xml:space="preserve">The Company Secretary confirmed that </w:t>
      </w:r>
      <w:r>
        <w:rPr>
          <w:rFonts w:ascii="Calibri" w:cs="Calibri" w:eastAsia="Calibri" w:hAnsi="Calibri"/>
          <w:b/>
          <w:bCs/>
          <w:color w:val="1A1A2E"/>
          <w:sz w:val="22"/>
          <w:szCs w:val="22"/>
        </w:rPr>
        <w:t xml:space="preserve">quorum was duly constituted</w:t>
      </w:r>
      <w:r>
        <w:rPr>
          <w:rFonts w:ascii="Calibri" w:cs="Calibri" w:eastAsia="Calibri" w:hAnsi="Calibri"/>
          <w:b w:val="false"/>
          <w:bCs w:val="false"/>
          <w:color w:val="1A1A2E"/>
          <w:sz w:val="22"/>
          <w:szCs w:val="22"/>
        </w:rPr>
        <w:t xml:space="preserve">, with six of six board members present (including one by video conference). The meeting was declared properly convened and competent to transact business in accordance with the Articles of Association of Lemasy Limited and the Companies Act 2015 (Kenya).</w:t>
      </w:r>
    </w:p>
    <w:p>
      <w:pPr>
        <w:spacing w:after="160" w:before="0"/>
      </w:pPr>
    </w:p>
    <w:p>
      <w:pPr>
        <w:pStyle w:val="Heading1"/>
        <w:spacing w:after="140" w:before="400"/>
      </w:pPr>
      <w:r>
        <w:rPr>
          <w:rFonts w:ascii="Calibri" w:cs="Calibri" w:eastAsia="Calibri" w:hAnsi="Calibri"/>
          <w:b/>
          <w:bCs/>
          <w:color w:val="0D1B2A"/>
          <w:sz w:val="30"/>
          <w:szCs w:val="30"/>
        </w:rPr>
        <w:t xml:space="preserve">Agenda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7226"/>
        <w:gridCol w:w="1260"/>
      </w:tblGrid>
      <w:tr>
        <w:tc>
          <w:tcPr>
            <w:tcW w:type="dxa" w:w="54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No.</w:t>
            </w:r>
          </w:p>
        </w:tc>
        <w:tc>
          <w:tcPr>
            <w:tcW w:type="dxa" w:w="72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Agenda Item</w:t>
            </w:r>
          </w:p>
        </w:tc>
        <w:tc>
          <w:tcPr>
            <w:tcW w:type="dxa" w:w="126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Lead</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1</w:t>
            </w:r>
          </w:p>
        </w:tc>
        <w:tc>
          <w:tcPr>
            <w:tcW w:type="dxa" w:w="72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Opening, Welcome, and Apologies</w:t>
            </w:r>
          </w:p>
        </w:tc>
        <w:tc>
          <w:tcPr>
            <w:tcW w:type="dxa" w:w="126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Chairman</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2</w:t>
            </w:r>
          </w:p>
        </w:tc>
        <w:tc>
          <w:tcPr>
            <w:tcW w:type="dxa" w:w="72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Confirmation of Previous Minutes — Q4 2024</w:t>
            </w:r>
          </w:p>
        </w:tc>
        <w:tc>
          <w:tcPr>
            <w:tcW w:type="dxa" w:w="126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Secretary</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3</w:t>
            </w:r>
          </w:p>
        </w:tc>
        <w:tc>
          <w:tcPr>
            <w:tcW w:type="dxa" w:w="72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Matters Arising from Q4 2024 Minutes</w:t>
            </w:r>
          </w:p>
        </w:tc>
        <w:tc>
          <w:tcPr>
            <w:tcW w:type="dxa" w:w="126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CEO / All</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4</w:t>
            </w:r>
          </w:p>
        </w:tc>
        <w:tc>
          <w:tcPr>
            <w:tcW w:type="dxa" w:w="72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Q1 2025 Board Performance Dashboard</w:t>
            </w:r>
          </w:p>
        </w:tc>
        <w:tc>
          <w:tcPr>
            <w:tcW w:type="dxa" w:w="126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CEO</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5</w:t>
            </w:r>
          </w:p>
        </w:tc>
        <w:tc>
          <w:tcPr>
            <w:tcW w:type="dxa" w:w="72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Financial Results — Q1 2025</w:t>
            </w:r>
          </w:p>
        </w:tc>
        <w:tc>
          <w:tcPr>
            <w:tcW w:type="dxa" w:w="126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CFO / CCO</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6</w:t>
            </w:r>
          </w:p>
        </w:tc>
        <w:tc>
          <w:tcPr>
            <w:tcW w:type="dxa" w:w="72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Commercial &amp; Product Update — New Logos, Pipeline &amp; Cortex v2.1</w:t>
            </w:r>
          </w:p>
        </w:tc>
        <w:tc>
          <w:tcPr>
            <w:tcW w:type="dxa" w:w="126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CEO / CCO / CTO</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7</w:t>
            </w:r>
          </w:p>
        </w:tc>
        <w:tc>
          <w:tcPr>
            <w:tcW w:type="dxa" w:w="72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People &amp; Talent — Engineering Attrition, Salary Uplift &amp; ESOP</w:t>
            </w:r>
          </w:p>
        </w:tc>
        <w:tc>
          <w:tcPr>
            <w:tcW w:type="dxa" w:w="126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CPO / CEO</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8</w:t>
            </w:r>
          </w:p>
        </w:tc>
        <w:tc>
          <w:tcPr>
            <w:tcW w:type="dxa" w:w="72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IT &amp; Digital Governance — ISO 27001 and Platform Security</w:t>
            </w:r>
          </w:p>
        </w:tc>
        <w:tc>
          <w:tcPr>
            <w:tcW w:type="dxa" w:w="126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CTO</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9</w:t>
            </w:r>
          </w:p>
        </w:tc>
        <w:tc>
          <w:tcPr>
            <w:tcW w:type="dxa" w:w="72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Legal &amp; Compliance — SA Incorporation &amp; Contractor Risk</w:t>
            </w:r>
          </w:p>
        </w:tc>
        <w:tc>
          <w:tcPr>
            <w:tcW w:type="dxa" w:w="126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Legal / Secretary</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10</w:t>
            </w:r>
          </w:p>
        </w:tc>
        <w:tc>
          <w:tcPr>
            <w:tcW w:type="dxa" w:w="72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Risk Committee Report — Enterprise Risk Register Q1 2025</w:t>
            </w:r>
          </w:p>
        </w:tc>
        <w:tc>
          <w:tcPr>
            <w:tcW w:type="dxa" w:w="126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Mr. Okonkwo</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11</w:t>
            </w:r>
          </w:p>
        </w:tc>
        <w:tc>
          <w:tcPr>
            <w:tcW w:type="dxa" w:w="72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Audit Committee Report — Q1 2025 Findings &amp; IFRS Issues</w:t>
            </w:r>
          </w:p>
        </w:tc>
        <w:tc>
          <w:tcPr>
            <w:tcW w:type="dxa" w:w="126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Ms. Kamau</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12</w:t>
            </w:r>
          </w:p>
        </w:tc>
        <w:tc>
          <w:tcPr>
            <w:tcW w:type="dxa" w:w="72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Board Resolutions</w:t>
            </w:r>
          </w:p>
        </w:tc>
        <w:tc>
          <w:tcPr>
            <w:tcW w:type="dxa" w:w="126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Chairman / Secretary</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13</w:t>
            </w:r>
          </w:p>
        </w:tc>
        <w:tc>
          <w:tcPr>
            <w:tcW w:type="dxa" w:w="72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Any Other Business</w:t>
            </w:r>
          </w:p>
        </w:tc>
        <w:tc>
          <w:tcPr>
            <w:tcW w:type="dxa" w:w="126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All</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14</w:t>
            </w:r>
          </w:p>
        </w:tc>
        <w:tc>
          <w:tcPr>
            <w:tcW w:type="dxa" w:w="72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Date of Next Meeting</w:t>
            </w:r>
          </w:p>
        </w:tc>
        <w:tc>
          <w:tcPr>
            <w:tcW w:type="dxa" w:w="126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Chairman</w:t>
            </w:r>
          </w:p>
        </w:tc>
      </w:tr>
    </w:tbl>
    <w:p>
      <w:pPr>
        <w:spacing w:after="240" w:before="0"/>
      </w:pPr>
    </w:p>
    <w:p>
      <w:pPr>
        <w:pStyle w:val="Heading1"/>
        <w:spacing w:after="140" w:before="400"/>
      </w:pPr>
      <w:r>
        <w:rPr>
          <w:rFonts w:ascii="Calibri" w:cs="Calibri" w:eastAsia="Calibri" w:hAnsi="Calibri"/>
          <w:b/>
          <w:bCs/>
          <w:color w:val="0D1B2A"/>
          <w:sz w:val="30"/>
          <w:szCs w:val="30"/>
        </w:rPr>
        <w:t xml:space="preserve">Item 1 — Opening, Welcome, and Apologies</w:t>
      </w:r>
    </w:p>
    <w:p>
      <w:pPr>
        <w:spacing w:after="120" w:before="80"/>
        <w:jc w:val="both"/>
      </w:pPr>
      <w:r>
        <w:rPr>
          <w:rFonts w:ascii="Calibri" w:cs="Calibri" w:eastAsia="Calibri" w:hAnsi="Calibri"/>
          <w:b w:val="false"/>
          <w:bCs w:val="false"/>
          <w:color w:val="1A1A2E"/>
          <w:sz w:val="22"/>
          <w:szCs w:val="22"/>
        </w:rPr>
        <w:t xml:space="preserve">The Chairman, Mr. Kwesi Boateng, called the meeting to order at 09:04 EAT and welcomed all members. He welcomed Dr. Fatima Al-Rashid, joining via video conference from Dubai, and confirmed that all technical arrangements were satisfactory.</w:t>
      </w:r>
    </w:p>
    <w:p>
      <w:pPr>
        <w:spacing w:after="120" w:before="80"/>
        <w:jc w:val="both"/>
      </w:pPr>
      <w:r>
        <w:rPr>
          <w:rFonts w:ascii="Calibri" w:cs="Calibri" w:eastAsia="Calibri" w:hAnsi="Calibri"/>
          <w:b w:val="false"/>
          <w:bCs w:val="false"/>
          <w:color w:val="1A1A2E"/>
          <w:sz w:val="22"/>
          <w:szCs w:val="22"/>
        </w:rPr>
        <w:t xml:space="preserve">No apologies were received. The Chairman noted the full board attendance and expressed his appreciation for the engagement of all members.</w:t>
      </w:r>
    </w:p>
    <w:p>
      <w:pPr>
        <w:spacing w:after="120" w:before="80"/>
        <w:jc w:val="both"/>
      </w:pPr>
      <w:r>
        <w:rPr>
          <w:rFonts w:ascii="Calibri" w:cs="Calibri" w:eastAsia="Calibri" w:hAnsi="Calibri"/>
          <w:b w:val="false"/>
          <w:bCs w:val="false"/>
          <w:color w:val="1A1A2E"/>
          <w:sz w:val="22"/>
          <w:szCs w:val="22"/>
        </w:rPr>
        <w:t xml:space="preserve">The Chairman made an opening remark noting that Q1 2025 represented a significant inflection point in Lemasy's development — the company had crossed USD 2M in quarterly revenue for the first time — and that the agenda reflected both the opportunity ahead and the management challenges that required the board's active attention.</w:t>
      </w:r>
    </w:p>
    <w:p>
      <w:pPr>
        <w:spacing w:after="160" w:before="0"/>
      </w:pPr>
    </w:p>
    <w:p>
      <w:pPr>
        <w:pStyle w:val="Heading1"/>
        <w:spacing w:after="140" w:before="400"/>
      </w:pPr>
      <w:r>
        <w:rPr>
          <w:rFonts w:ascii="Calibri" w:cs="Calibri" w:eastAsia="Calibri" w:hAnsi="Calibri"/>
          <w:b/>
          <w:bCs/>
          <w:color w:val="0D1B2A"/>
          <w:sz w:val="30"/>
          <w:szCs w:val="30"/>
        </w:rPr>
        <w:t xml:space="preserve">Item 2 — Confirmation of Previous Minutes</w:t>
      </w:r>
    </w:p>
    <w:p>
      <w:pPr>
        <w:spacing w:after="120" w:before="80"/>
        <w:jc w:val="both"/>
      </w:pPr>
      <w:r>
        <w:rPr>
          <w:rFonts w:ascii="Calibri" w:cs="Calibri" w:eastAsia="Calibri" w:hAnsi="Calibri"/>
          <w:b w:val="false"/>
          <w:bCs w:val="false"/>
          <w:color w:val="1A1A2E"/>
          <w:sz w:val="22"/>
          <w:szCs w:val="22"/>
        </w:rPr>
        <w:t xml:space="preserve">The minutes of the Q4 2024 Board Meeting held on 6 December 2024 were tabled. No amendments were proposed. The minutes were:</w:t>
      </w:r>
    </w:p>
    <w:p>
      <w:pPr>
        <w:spacing w:after="60" w:before="0"/>
      </w:pPr>
    </w:p>
    <w:p>
      <w:pPr>
        <w:pStyle w:val="ListParagraph"/>
        <w:numPr>
          <w:ilvl w:val="0"/>
          <w:numId w:val="2"/>
        </w:numPr>
        <w:spacing w:after="60" w:before="60"/>
      </w:pPr>
      <w:r>
        <w:rPr>
          <w:rFonts w:ascii="Calibri" w:cs="Calibri" w:eastAsia="Calibri" w:hAnsi="Calibri"/>
          <w:b w:val="false"/>
          <w:bCs w:val="false"/>
          <w:color w:val="1A1A2E"/>
          <w:sz w:val="22"/>
          <w:szCs w:val="22"/>
        </w:rPr>
        <w:t xml:space="preserve">Proposed for adoption by: Ms. Nadia Kamau</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Seconded by: Mr. Chidi Okonkwo</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Adopted unanimously by all members present</w:t>
      </w:r>
    </w:p>
    <w:p>
      <w:pPr>
        <w:spacing w:after="160" w:before="0"/>
      </w:pPr>
    </w:p>
    <w:p>
      <w:pPr>
        <w:pStyle w:val="Heading1"/>
        <w:spacing w:after="140" w:before="400"/>
      </w:pPr>
      <w:r>
        <w:rPr>
          <w:rFonts w:ascii="Calibri" w:cs="Calibri" w:eastAsia="Calibri" w:hAnsi="Calibri"/>
          <w:b/>
          <w:bCs/>
          <w:color w:val="0D1B2A"/>
          <w:sz w:val="30"/>
          <w:szCs w:val="30"/>
        </w:rPr>
        <w:t xml:space="preserve">Item 3 — Matters Arising from Q4 2024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5040"/>
        <w:gridCol w:w="1800"/>
        <w:gridCol w:w="1646"/>
      </w:tblGrid>
      <w:tr>
        <w:tc>
          <w:tcPr>
            <w:tcW w:type="dxa" w:w="54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Ref</w:t>
            </w:r>
          </w:p>
        </w:tc>
        <w:tc>
          <w:tcPr>
            <w:tcW w:type="dxa" w:w="504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Action from Q4 2024</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Owner</w:t>
            </w:r>
          </w:p>
        </w:tc>
        <w:tc>
          <w:tcPr>
            <w:tcW w:type="dxa" w:w="164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Status</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Q4-A1</w:t>
            </w:r>
          </w:p>
        </w:tc>
        <w:tc>
          <w:tcPr>
            <w:tcW w:type="dxa" w:w="50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Engineering compensation benchmarking to be completed by end of Q1</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CPO</w:t>
            </w:r>
          </w:p>
        </w:tc>
        <w:tc>
          <w:tcPr>
            <w:tcW w:type="dxa" w:w="164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Completed — see Item 7</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Q4-A2</w:t>
            </w:r>
          </w:p>
        </w:tc>
        <w:tc>
          <w:tcPr>
            <w:tcW w:type="dxa" w:w="50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South Africa entity incorporation to be initiated in Q1</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CFO</w:t>
            </w:r>
          </w:p>
        </w:tc>
        <w:tc>
          <w:tcPr>
            <w:tcW w:type="dxa" w:w="164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In Progress — CIPC filed Mar 10</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Q4-A3</w:t>
            </w:r>
          </w:p>
        </w:tc>
        <w:tc>
          <w:tcPr>
            <w:tcW w:type="dxa" w:w="50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ISO 27001 pre-audit gap assessment to be completed</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CTO</w:t>
            </w:r>
          </w:p>
        </w:tc>
        <w:tc>
          <w:tcPr>
            <w:tcW w:type="dxa" w:w="164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Completed — 11 gaps, 8 resolved</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Q4-A4</w:t>
            </w:r>
          </w:p>
        </w:tc>
        <w:tc>
          <w:tcPr>
            <w:tcW w:type="dxa" w:w="50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IFRS 15 revenue recognition policy to be documented</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CFO</w:t>
            </w:r>
          </w:p>
        </w:tc>
        <w:tc>
          <w:tcPr>
            <w:tcW w:type="dxa" w:w="164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In Progress — Q2 completion</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Q4-A5</w:t>
            </w:r>
          </w:p>
        </w:tc>
        <w:tc>
          <w:tcPr>
            <w:tcW w:type="dxa" w:w="50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Legal review of SA contractor classification risk</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Legal</w:t>
            </w:r>
          </w:p>
        </w:tc>
        <w:tc>
          <w:tcPr>
            <w:tcW w:type="dxa" w:w="164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Completed — see Item 9</w:t>
            </w:r>
          </w:p>
        </w:tc>
      </w:tr>
    </w:tbl>
    <w:p>
      <w:pPr>
        <w:spacing w:after="100" w:before="0"/>
      </w:pPr>
    </w:p>
    <w:p>
      <w:pPr>
        <w:spacing w:after="120" w:before="80"/>
        <w:jc w:val="both"/>
      </w:pPr>
      <w:r>
        <w:rPr>
          <w:rFonts w:ascii="Calibri" w:cs="Calibri" w:eastAsia="Calibri" w:hAnsi="Calibri"/>
          <w:b w:val="false"/>
          <w:bCs w:val="false"/>
          <w:color w:val="1A1A2E"/>
          <w:sz w:val="22"/>
          <w:szCs w:val="22"/>
        </w:rPr>
        <w:t xml:space="preserve">The Chairman noted that three of five Q4 actions had been fully resolved and two remained in progress on schedule. He expressed satisfaction with the pace of action closure and commended the management team.</w:t>
      </w:r>
    </w:p>
    <w:p>
      <w:pPr>
        <w:spacing w:after="200" w:before="0"/>
      </w:pPr>
    </w:p>
    <w:p>
      <w:pPr>
        <w:pStyle w:val="Heading1"/>
        <w:spacing w:after="140" w:before="400"/>
      </w:pPr>
      <w:r>
        <w:rPr>
          <w:rFonts w:ascii="Calibri" w:cs="Calibri" w:eastAsia="Calibri" w:hAnsi="Calibri"/>
          <w:b/>
          <w:bCs/>
          <w:color w:val="0D1B2A"/>
          <w:sz w:val="30"/>
          <w:szCs w:val="30"/>
        </w:rPr>
        <w:t xml:space="preserve">Item 4 — Q1 2025 Board Performance Dashboard</w:t>
      </w:r>
    </w:p>
    <w:p>
      <w:pPr>
        <w:spacing w:after="120" w:before="80"/>
        <w:jc w:val="both"/>
      </w:pPr>
      <w:r>
        <w:rPr>
          <w:rFonts w:ascii="Calibri" w:cs="Calibri" w:eastAsia="Calibri" w:hAnsi="Calibri"/>
          <w:b w:val="false"/>
          <w:bCs w:val="false"/>
          <w:color w:val="1A1A2E"/>
          <w:sz w:val="22"/>
          <w:szCs w:val="22"/>
        </w:rPr>
        <w:t xml:space="preserve">The CEO, Ms. Amara Osei-Bonsu, presented the Q1 2025 Board Performance Dashboard. She noted that Q1 had been the strongest quarter in the company's history across all commercial metrics.</w:t>
      </w:r>
    </w:p>
    <w:p>
      <w:pPr>
        <w:spacing w:after="80" w:before="0"/>
      </w:pPr>
    </w:p>
    <w:p>
      <w:pPr>
        <w:pStyle w:val="Heading2"/>
        <w:spacing w:after="100" w:before="280"/>
      </w:pPr>
      <w:r>
        <w:rPr>
          <w:rFonts w:ascii="Calibri" w:cs="Calibri" w:eastAsia="Calibri" w:hAnsi="Calibri"/>
          <w:b/>
          <w:bCs/>
          <w:color w:val="1E3A5F"/>
          <w:sz w:val="24"/>
          <w:szCs w:val="24"/>
        </w:rPr>
        <w:t xml:space="preserve">4.1  Financial Highlights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Group revenue of USD 2.14M — 18.9% ahead of plan and 34.6% above Q1 2024. This was the first quarter exceeding USD 2M.</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ARR grew to USD 4.80M, driven by three new enterprise client contracts: Absa Bank (KYC), Old Mutual (underwriting risk), and a digital lender in South Africa (credit decisioning).</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EBITDA margin of 17.8% — 5.6 percentage points above the plan of 12.2%. This reflects the operating leverage of higher revenue over the largely fixed cost base.</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Zero churn in Q1. NRR of 118% — the KCB Group expansion into fraud detection contributed USD 260,000 of upsell revenue.</w:t>
      </w:r>
    </w:p>
    <w:p>
      <w:pPr>
        <w:spacing w:after="80" w:before="0"/>
      </w:pPr>
    </w:p>
    <w:p>
      <w:pPr>
        <w:pStyle w:val="Heading2"/>
        <w:spacing w:after="100" w:before="280"/>
      </w:pPr>
      <w:r>
        <w:rPr>
          <w:rFonts w:ascii="Calibri" w:cs="Calibri" w:eastAsia="Calibri" w:hAnsi="Calibri"/>
          <w:b/>
          <w:bCs/>
          <w:color w:val="1E3A5F"/>
          <w:sz w:val="24"/>
          <w:szCs w:val="24"/>
        </w:rPr>
        <w:t xml:space="preserve">4.2  South Africa Momentum</w:t>
      </w:r>
    </w:p>
    <w:p>
      <w:pPr>
        <w:spacing w:after="120" w:before="80"/>
        <w:jc w:val="both"/>
      </w:pPr>
      <w:r>
        <w:rPr>
          <w:rFonts w:ascii="Calibri" w:cs="Calibri" w:eastAsia="Calibri" w:hAnsi="Calibri"/>
          <w:b w:val="false"/>
          <w:bCs w:val="false"/>
          <w:color w:val="1A1A2E"/>
          <w:sz w:val="22"/>
          <w:szCs w:val="22"/>
        </w:rPr>
        <w:t xml:space="preserve">The CEO highlighted South Africa as the defining commercial theme of Q1. The Johannesburg market contributed USD 0.72M — 33.6% of group revenue, up from 24% in Q1 2024. The South Africa gross margin of 68.4% exceeded the Kenya margin of 61.8%, attributable to the higher proportion of recurring subscription revenue in the South Africa portfolio.</w:t>
      </w:r>
    </w:p>
    <w:p>
      <w:pPr>
        <w:spacing w:after="80" w:before="0"/>
      </w:pPr>
    </w:p>
    <w:p>
      <w:pPr>
        <w:spacing w:after="120" w:before="80"/>
        <w:jc w:val="both"/>
      </w:pPr>
      <w:r>
        <w:rPr>
          <w:rFonts w:ascii="Calibri" w:cs="Calibri" w:eastAsia="Calibri" w:hAnsi="Calibri"/>
          <w:b w:val="false"/>
          <w:bCs w:val="false"/>
          <w:color w:val="1A1A2E"/>
          <w:sz w:val="22"/>
          <w:szCs w:val="22"/>
        </w:rPr>
        <w:t xml:space="preserve">Mr. Okonkwo asked whether the South Africa revenue growth was sustainable or driven by the one-time effect of three new contract signings. The CEO confirmed that all three Q1 South Africa clients were on multi-year subscription contracts, with project implementation fees being only a portion of the Q1 billing. The recurring revenue from these clients would flow into Q2 and beyond.</w:t>
      </w:r>
    </w:p>
    <w:p>
      <w:pPr>
        <w:spacing w:after="80" w:before="0"/>
      </w:pPr>
    </w:p>
    <w:p>
      <w:pPr>
        <w:pStyle w:val="Heading2"/>
        <w:spacing w:after="100" w:before="280"/>
      </w:pPr>
      <w:r>
        <w:rPr>
          <w:rFonts w:ascii="Calibri" w:cs="Calibri" w:eastAsia="Calibri" w:hAnsi="Calibri"/>
          <w:b/>
          <w:bCs/>
          <w:color w:val="1E3A5F"/>
          <w:sz w:val="24"/>
          <w:szCs w:val="24"/>
        </w:rPr>
        <w:t xml:space="preserve">4.3  Discussion</w:t>
      </w:r>
    </w:p>
    <w:p>
      <w:pPr>
        <w:spacing w:after="120" w:before="80"/>
        <w:jc w:val="both"/>
      </w:pPr>
      <w:r>
        <w:rPr>
          <w:rFonts w:ascii="Calibri" w:cs="Calibri" w:eastAsia="Calibri" w:hAnsi="Calibri"/>
          <w:b w:val="false"/>
          <w:bCs w:val="false"/>
          <w:color w:val="1A1A2E"/>
          <w:sz w:val="22"/>
          <w:szCs w:val="22"/>
        </w:rPr>
        <w:t xml:space="preserve">Ms. Kamau raised the client concentration risk — noting that with three new clients, the top 3 clients still represented 48% of group revenue. The CEO acknowledged this as a primary commercial risk and confirmed that the Q2 pipeline of USD 6.4M was specifically targeting sector and geographic diversification.</w:t>
      </w:r>
    </w:p>
    <w:p>
      <w:pPr>
        <w:spacing w:after="80" w:before="0"/>
      </w:pPr>
    </w:p>
    <w:p>
      <w:pPr>
        <w:spacing w:after="120" w:before="80"/>
        <w:jc w:val="both"/>
      </w:pPr>
      <w:r>
        <w:rPr>
          <w:rFonts w:ascii="Calibri" w:cs="Calibri" w:eastAsia="Calibri" w:hAnsi="Calibri"/>
          <w:b w:val="false"/>
          <w:bCs w:val="false"/>
          <w:color w:val="1A1A2E"/>
          <w:sz w:val="22"/>
          <w:szCs w:val="22"/>
        </w:rPr>
        <w:t xml:space="preserve">Dr. Al-Rashid (via video conference) noted the strong NPS of 62 and asked whether there was a feedback loop from the NPS data into the product roadmap. The CTO confirmed that quarterly NPS interviews were conducted with all clients and that the results directly informed the Cortex feature prioritisation process. The explainability dashboard feature in Cortex v2.1, for example, was driven directly by client regulatory feedback.</w:t>
      </w:r>
    </w:p>
    <w:p>
      <w:pPr>
        <w:spacing w:after="200" w:before="0"/>
      </w:pPr>
    </w:p>
    <w:p>
      <w:pPr>
        <w:pStyle w:val="Heading1"/>
        <w:spacing w:after="140" w:before="400"/>
      </w:pPr>
      <w:r>
        <w:rPr>
          <w:rFonts w:ascii="Calibri" w:cs="Calibri" w:eastAsia="Calibri" w:hAnsi="Calibri"/>
          <w:b/>
          <w:bCs/>
          <w:color w:val="0D1B2A"/>
          <w:sz w:val="30"/>
          <w:szCs w:val="30"/>
        </w:rPr>
        <w:t xml:space="preserve">Item 5 — Financial Results — Q1 2025</w:t>
      </w:r>
    </w:p>
    <w:p>
      <w:pPr>
        <w:spacing w:after="120" w:before="80"/>
        <w:jc w:val="both"/>
      </w:pPr>
      <w:r>
        <w:rPr>
          <w:rFonts w:ascii="Calibri" w:cs="Calibri" w:eastAsia="Calibri" w:hAnsi="Calibri"/>
          <w:b w:val="false"/>
          <w:bCs w:val="false"/>
          <w:color w:val="1A1A2E"/>
          <w:sz w:val="22"/>
          <w:szCs w:val="22"/>
        </w:rPr>
        <w:t xml:space="preserve">The CFO, Mr. Kwame Asante-Mensah, presented the detailed financial results for Q1 2025.</w:t>
      </w:r>
    </w:p>
    <w:p>
      <w:pPr>
        <w:spacing w:after="80" w:before="0"/>
      </w:pPr>
    </w:p>
    <w:p>
      <w:pPr>
        <w:pStyle w:val="Heading2"/>
        <w:spacing w:after="100" w:before="280"/>
      </w:pPr>
      <w:r>
        <w:rPr>
          <w:rFonts w:ascii="Calibri" w:cs="Calibri" w:eastAsia="Calibri" w:hAnsi="Calibri"/>
          <w:b/>
          <w:bCs/>
          <w:color w:val="1E3A5F"/>
          <w:sz w:val="24"/>
          <w:szCs w:val="24"/>
        </w:rPr>
        <w:t xml:space="preserve">5.1  Revenue Recognition Issue — Safaricom Contract</w:t>
      </w:r>
    </w:p>
    <w:p>
      <w:pPr>
        <w:spacing w:after="120" w:before="80"/>
        <w:jc w:val="both"/>
      </w:pPr>
      <w:r>
        <w:rPr>
          <w:rFonts w:ascii="Calibri" w:cs="Calibri" w:eastAsia="Calibri" w:hAnsi="Calibri"/>
          <w:b w:val="false"/>
          <w:bCs w:val="false"/>
          <w:color w:val="1A1A2E"/>
          <w:sz w:val="22"/>
          <w:szCs w:val="22"/>
        </w:rPr>
        <w:t xml:space="preserve">The CFO highlighted a finding from the Audit Committee review: USD 96,000 of revenue on the Safaricom churn prediction contract had been initially recognised in January 2025 despite a formal client milestone sign-off not having been obtained. In accordance with IFRS 15, this revenue has been deferred to Q2 2025 pending client acceptance.</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Impact: Q1 revenue restated from USD 2.236M to USD 2.140M. The USD 96,000 has been deferred and will be recognised in Q2 2025.</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Corrective Action: A formal revenue recognition workflow requiring documented milestone sign-off before revenue is booked has been designed and will be implemented from April 2025.</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Board Note: The Audit Committee has directed the CFO to produce a written IFRS 15 revenue recognition policy document by 30 April 2025.</w:t>
      </w:r>
    </w:p>
    <w:p>
      <w:pPr>
        <w:spacing w:after="80" w:before="0"/>
      </w:pPr>
    </w:p>
    <w:p>
      <w:pPr>
        <w:spacing w:after="120" w:before="80"/>
        <w:jc w:val="both"/>
      </w:pPr>
      <w:r>
        <w:rPr>
          <w:rFonts w:ascii="Calibri" w:cs="Calibri" w:eastAsia="Calibri" w:hAnsi="Calibri"/>
          <w:b w:val="false"/>
          <w:bCs w:val="false"/>
          <w:color w:val="1A1A2E"/>
          <w:sz w:val="22"/>
          <w:szCs w:val="22"/>
        </w:rPr>
        <w:t xml:space="preserve">The board noted the revenue recognition adjustment. Mr. Boateng observed that while the financial impact was modest, the IFRS 15 compliance rigour was non-negotiable for a company at Lemasy's stage of growth and with the calibre of enterprise clients being served. He asked the CFO to confirm the policy would be in place before any further client milestones were billed.</w:t>
      </w:r>
    </w:p>
    <w:p>
      <w:pPr>
        <w:spacing w:after="80" w:before="0"/>
      </w:pPr>
    </w:p>
    <w:p>
      <w:pPr>
        <w:pStyle w:val="Heading2"/>
        <w:spacing w:after="100" w:before="280"/>
      </w:pPr>
      <w:r>
        <w:rPr>
          <w:rFonts w:ascii="Calibri" w:cs="Calibri" w:eastAsia="Calibri" w:hAnsi="Calibri"/>
          <w:b/>
          <w:bCs/>
          <w:color w:val="1E3A5F"/>
          <w:sz w:val="24"/>
          <w:szCs w:val="24"/>
        </w:rPr>
        <w:t xml:space="preserve">5.2  FX Commentary</w:t>
      </w:r>
    </w:p>
    <w:p>
      <w:pPr>
        <w:spacing w:after="120" w:before="80"/>
        <w:jc w:val="both"/>
      </w:pPr>
      <w:r>
        <w:rPr>
          <w:rFonts w:ascii="Calibri" w:cs="Calibri" w:eastAsia="Calibri" w:hAnsi="Calibri"/>
          <w:b w:val="false"/>
          <w:bCs w:val="false"/>
          <w:color w:val="1A1A2E"/>
          <w:sz w:val="22"/>
          <w:szCs w:val="22"/>
        </w:rPr>
        <w:t xml:space="preserve">The CFO noted that Lemasy's natural FX hedge was favourable: 78% of revenue is billed in USD while 62% of costs are in KES. KES depreciation of 6.2% in Q1 therefore reduced the USD cost base while leaving revenue unchanged — a net positive. No hedging instruments are currently in place and none are recommended given the natural hedge position.</w:t>
      </w:r>
    </w:p>
    <w:p>
      <w:pPr>
        <w:spacing w:after="80" w:before="0"/>
      </w:pPr>
    </w:p>
    <w:p>
      <w:pPr>
        <w:pStyle w:val="Heading2"/>
        <w:spacing w:after="100" w:before="280"/>
      </w:pPr>
      <w:r>
        <w:rPr>
          <w:rFonts w:ascii="Calibri" w:cs="Calibri" w:eastAsia="Calibri" w:hAnsi="Calibri"/>
          <w:b/>
          <w:bCs/>
          <w:color w:val="1E3A5F"/>
          <w:sz w:val="24"/>
          <w:szCs w:val="24"/>
        </w:rPr>
        <w:t xml:space="preserve">5.3  Cash Position</w:t>
      </w:r>
    </w:p>
    <w:p>
      <w:pPr>
        <w:spacing w:after="120" w:before="80"/>
        <w:jc w:val="both"/>
      </w:pPr>
      <w:r>
        <w:rPr>
          <w:rFonts w:ascii="Calibri" w:cs="Calibri" w:eastAsia="Calibri" w:hAnsi="Calibri"/>
          <w:b w:val="false"/>
          <w:bCs w:val="false"/>
          <w:color w:val="1A1A2E"/>
          <w:sz w:val="22"/>
          <w:szCs w:val="22"/>
        </w:rPr>
        <w:t xml:space="preserve">Cash at end of Q1 was USD 1.84M, above the minimum operating target of USD 1.0M. With positive EBITDA of USD 0.38M and no significant capital requirements, the CFO confirmed the company was generating sufficient cash to self-fund operations and the proposed salary uplift without additional fundraising.</w:t>
      </w:r>
    </w:p>
    <w:p>
      <w:pPr>
        <w:spacing w:after="200" w:before="0"/>
      </w:pPr>
    </w:p>
    <w:p>
      <w:pPr>
        <w:pStyle w:val="Heading1"/>
        <w:spacing w:after="140" w:before="400"/>
      </w:pPr>
      <w:r>
        <w:rPr>
          <w:rFonts w:ascii="Calibri" w:cs="Calibri" w:eastAsia="Calibri" w:hAnsi="Calibri"/>
          <w:b/>
          <w:bCs/>
          <w:color w:val="0D1B2A"/>
          <w:sz w:val="30"/>
          <w:szCs w:val="30"/>
        </w:rPr>
        <w:t xml:space="preserve">Item 6 — Commercial &amp; Product Update</w:t>
      </w:r>
    </w:p>
    <w:p>
      <w:pPr>
        <w:spacing w:after="120" w:before="80"/>
        <w:jc w:val="both"/>
      </w:pPr>
      <w:r>
        <w:rPr>
          <w:rFonts w:ascii="Calibri" w:cs="Calibri" w:eastAsia="Calibri" w:hAnsi="Calibri"/>
          <w:b w:val="false"/>
          <w:bCs w:val="false"/>
          <w:color w:val="1A1A2E"/>
          <w:sz w:val="22"/>
          <w:szCs w:val="22"/>
        </w:rPr>
        <w:t xml:space="preserve">The CCO, Mr. Taiwo Adebisi, and CTO, Mr. Babajide Okafor, presented the commercial and product update.</w:t>
      </w:r>
    </w:p>
    <w:p>
      <w:pPr>
        <w:spacing w:after="80" w:before="0"/>
      </w:pPr>
    </w:p>
    <w:p>
      <w:pPr>
        <w:pStyle w:val="Heading2"/>
        <w:spacing w:after="100" w:before="280"/>
      </w:pPr>
      <w:r>
        <w:rPr>
          <w:rFonts w:ascii="Calibri" w:cs="Calibri" w:eastAsia="Calibri" w:hAnsi="Calibri"/>
          <w:b/>
          <w:bCs/>
          <w:color w:val="1E3A5F"/>
          <w:sz w:val="24"/>
          <w:szCs w:val="24"/>
        </w:rPr>
        <w:t xml:space="preserve">6.1  New Logos — Q1 2025</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Absa Bank SA — AI-powered KYC document verification platform. ACV USD 480,000. Signed January 2025. The explainability dashboard feature in Cortex v2.1 was specifically cited as a procurement decision factor by Absa's CRO.</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Old Mutual SA — Insurance underwriting risk intelligence. ACV USD 340,000. Signed February 2025. Introduced through a referral from the KCB Group engagement — validates Lemasy's referral-led growth model.</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Digital Lender SA — Credit decisioning platform. ACV USD 180,000. Note: This client has experienced data governance challenges during onboarding. A working session with their CTO has been scheduled for April 2025 to resolve data sharing protocol issues.</w:t>
      </w:r>
    </w:p>
    <w:p>
      <w:pPr>
        <w:spacing w:after="80" w:before="0"/>
      </w:pPr>
    </w:p>
    <w:p>
      <w:pPr>
        <w:pStyle w:val="Heading2"/>
        <w:spacing w:after="100" w:before="280"/>
      </w:pPr>
      <w:r>
        <w:rPr>
          <w:rFonts w:ascii="Calibri" w:cs="Calibri" w:eastAsia="Calibri" w:hAnsi="Calibri"/>
          <w:b/>
          <w:bCs/>
          <w:color w:val="1E3A5F"/>
          <w:sz w:val="24"/>
          <w:szCs w:val="24"/>
        </w:rPr>
        <w:t xml:space="preserve">6.2  Cortex v2.1 — February 2025 Release</w:t>
      </w:r>
    </w:p>
    <w:p>
      <w:pPr>
        <w:spacing w:after="120" w:before="80"/>
        <w:jc w:val="both"/>
      </w:pPr>
      <w:r>
        <w:rPr>
          <w:rFonts w:ascii="Calibri" w:cs="Calibri" w:eastAsia="Calibri" w:hAnsi="Calibri"/>
          <w:b w:val="false"/>
          <w:bCs w:val="false"/>
          <w:color w:val="1A1A2E"/>
          <w:sz w:val="22"/>
          <w:szCs w:val="22"/>
        </w:rPr>
        <w:t xml:space="preserve">The CTO briefed the board on the Cortex Intelligence Layer v2.1 release, describing it as the most technically significant product event in the company's history. Key achievements: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41% reduction in model inference latency — from 1,840ms to 1,080ms average. Critical for real-time KYC and fraud screening.</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Real-time data ingestion via API connectors to 14 African financial data sources.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Explainability dashboards — a direct response to CBK and FSCA regulatory guidance on AI model transparency. Already cited as a competitive differentiator in two Q1 deals.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8 of 11 active clients had migrated to v2.1 within 6 weeks of release.</w:t>
      </w:r>
    </w:p>
    <w:p>
      <w:pPr>
        <w:spacing w:after="80" w:before="0"/>
      </w:pPr>
    </w:p>
    <w:p>
      <w:pPr>
        <w:pStyle w:val="Heading2"/>
        <w:spacing w:after="100" w:before="280"/>
      </w:pPr>
      <w:r>
        <w:rPr>
          <w:rFonts w:ascii="Calibri" w:cs="Calibri" w:eastAsia="Calibri" w:hAnsi="Calibri"/>
          <w:b/>
          <w:bCs/>
          <w:color w:val="1E3A5F"/>
          <w:sz w:val="24"/>
          <w:szCs w:val="24"/>
        </w:rPr>
        <w:t xml:space="preserve">6.3  Q2 Pipeline</w:t>
      </w:r>
    </w:p>
    <w:p>
      <w:pPr>
        <w:spacing w:after="120" w:before="80"/>
        <w:jc w:val="both"/>
      </w:pPr>
      <w:r>
        <w:rPr>
          <w:rFonts w:ascii="Calibri" w:cs="Calibri" w:eastAsia="Calibri" w:hAnsi="Calibri"/>
          <w:b w:val="false"/>
          <w:bCs w:val="false"/>
          <w:color w:val="1A1A2E"/>
          <w:sz w:val="22"/>
          <w:szCs w:val="22"/>
        </w:rPr>
        <w:t xml:space="preserve">The CCO highlighted five priority opportunities in the Q2 pipeline totalling USD 2.29M in potential contract value. The FirstRand Group engagement (USD 0.9M ACV — AML platform) was identified as the most significant commercial opportunity in the company's history. The CEO confirmed she would personally lead the commercial engagement and technical demonstration scheduled for May 2025.</w:t>
      </w:r>
    </w:p>
    <w:p>
      <w:pPr>
        <w:spacing w:after="80" w:before="0"/>
      </w:pPr>
    </w:p>
    <w:p>
      <w:pPr>
        <w:spacing w:after="120" w:before="80"/>
        <w:jc w:val="both"/>
      </w:pPr>
      <w:r>
        <w:rPr>
          <w:rFonts w:ascii="Calibri" w:cs="Calibri" w:eastAsia="Calibri" w:hAnsi="Calibri"/>
          <w:b w:val="false"/>
          <w:bCs w:val="false"/>
          <w:color w:val="1A1A2E"/>
          <w:sz w:val="22"/>
          <w:szCs w:val="22"/>
        </w:rPr>
        <w:t xml:space="preserve">Mr. Boateng asked about the competitive dynamic in the FirstRand process — specifically whether global AI vendors such as Palantir or McKinsey QuantumBlack were in the same RFP. The CCO confirmed that FirstRand had engaged two global vendors and Lemasy in a comparative evaluation. He expressed confidence in Lemasy's positioning based on: (i) superior African financial data domain expertise; (ii) faster implementation timelines; and (iii) better price-to-performance ratio.</w:t>
      </w:r>
    </w:p>
    <w:p>
      <w:pPr>
        <w:spacing w:after="200" w:before="0"/>
      </w:pPr>
    </w:p>
    <w:p>
      <w:pPr>
        <w:pStyle w:val="Heading1"/>
        <w:spacing w:after="140" w:before="400"/>
      </w:pPr>
      <w:r>
        <w:rPr>
          <w:rFonts w:ascii="Calibri" w:cs="Calibri" w:eastAsia="Calibri" w:hAnsi="Calibri"/>
          <w:b/>
          <w:bCs/>
          <w:color w:val="0D1B2A"/>
          <w:sz w:val="30"/>
          <w:szCs w:val="30"/>
        </w:rPr>
        <w:t xml:space="preserve">Item 7 — People &amp; Talent</w:t>
      </w:r>
    </w:p>
    <w:p>
      <w:pPr>
        <w:spacing w:after="120" w:before="80"/>
        <w:jc w:val="both"/>
      </w:pPr>
      <w:r>
        <w:rPr>
          <w:rFonts w:ascii="Calibri" w:cs="Calibri" w:eastAsia="Calibri" w:hAnsi="Calibri"/>
          <w:b w:val="false"/>
          <w:bCs w:val="false"/>
          <w:color w:val="1A1A2E"/>
          <w:sz w:val="22"/>
          <w:szCs w:val="22"/>
        </w:rPr>
        <w:t xml:space="preserve">The CPO, Ms. Yewande Adeyemi, presented the people and talent report for Q1 2025.</w:t>
      </w:r>
    </w:p>
    <w:p>
      <w:pPr>
        <w:spacing w:after="80" w:before="0"/>
      </w:pPr>
    </w:p>
    <w:p>
      <w:pPr>
        <w:pStyle w:val="Heading2"/>
        <w:spacing w:after="100" w:before="280"/>
      </w:pPr>
      <w:r>
        <w:rPr>
          <w:rFonts w:ascii="Calibri" w:cs="Calibri" w:eastAsia="Calibri" w:hAnsi="Calibri"/>
          <w:b/>
          <w:bCs/>
          <w:color w:val="1E3A5F"/>
          <w:sz w:val="24"/>
          <w:szCs w:val="24"/>
        </w:rPr>
        <w:t xml:space="preserve">7.1  Engineering Attrition — Board Priority</w:t>
      </w:r>
    </w:p>
    <w:p>
      <w:pPr>
        <w:spacing w:after="120" w:before="80"/>
        <w:jc w:val="both"/>
      </w:pPr>
      <w:r>
        <w:rPr>
          <w:rFonts w:ascii="Calibri" w:cs="Calibri" w:eastAsia="Calibri" w:hAnsi="Calibri"/>
          <w:b w:val="false"/>
          <w:bCs w:val="false"/>
          <w:color w:val="1A1A2E"/>
          <w:sz w:val="22"/>
          <w:szCs w:val="22"/>
        </w:rPr>
        <w:t xml:space="preserve">The CPO reported that two senior AI engineers had resigned in Q1 2025, both recruited by hyperscaler engineering hubs established in Nairobi (Google Cloud Africa and Microsoft Azure). Annualised engineering attrition reached 22%, against a target of 12%.</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Compensation Benchmarking Finding: Engineering salaries at Lemasy are 14–18% below the Nairobi tech market median, and 35–50% below total compensation packages offered by hyperscalers.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Time to Fill: Average of 74 days for engineering roles — against a target of 45 days. Three roles have been open for more than 90 days.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Delivery Risk: The current 7 open engineering vacancies represent approximately 15% of the total engineering function. If unfilled, delivery capacity for H2 client commitments is at risk.</w:t>
      </w:r>
    </w:p>
    <w:p>
      <w:pPr>
        <w:spacing w:after="80" w:before="0"/>
      </w:pPr>
    </w:p>
    <w:p>
      <w:pPr>
        <w:pStyle w:val="Heading2"/>
        <w:spacing w:after="100" w:before="280"/>
      </w:pPr>
      <w:r>
        <w:rPr>
          <w:rFonts w:ascii="Calibri" w:cs="Calibri" w:eastAsia="Calibri" w:hAnsi="Calibri"/>
          <w:b/>
          <w:bCs/>
          <w:color w:val="1E3A5F"/>
          <w:sz w:val="24"/>
          <w:szCs w:val="24"/>
        </w:rPr>
        <w:t xml:space="preserve">7.2  Proposed Remediation — Board Decision Required</w:t>
      </w:r>
    </w:p>
    <w:p>
      <w:pPr>
        <w:spacing w:after="120" w:before="80"/>
        <w:jc w:val="both"/>
      </w:pPr>
      <w:r>
        <w:rPr>
          <w:rFonts w:ascii="Calibri" w:cs="Calibri" w:eastAsia="Calibri" w:hAnsi="Calibri"/>
          <w:b w:val="false"/>
          <w:bCs w:val="false"/>
          <w:color w:val="1A1A2E"/>
          <w:sz w:val="22"/>
          <w:szCs w:val="22"/>
        </w:rPr>
        <w:t xml:space="preserve">The CPO and CEO jointly proposed two measures, both requiring board approval:</w:t>
      </w:r>
    </w:p>
    <w:p>
      <w:pPr>
        <w:spacing w:after="60" w:before="0"/>
      </w:pPr>
    </w:p>
    <w:p>
      <w:pPr>
        <w:pStyle w:val="ListParagraph"/>
        <w:numPr>
          <w:ilvl w:val="0"/>
          <w:numId w:val="2"/>
        </w:numPr>
        <w:spacing w:after="60" w:before="60"/>
      </w:pPr>
      <w:r>
        <w:rPr>
          <w:rFonts w:ascii="Calibri" w:cs="Calibri" w:eastAsia="Calibri" w:hAnsi="Calibri"/>
          <w:b w:val="false"/>
          <w:bCs w:val="false"/>
          <w:color w:val="1A1A2E"/>
          <w:sz w:val="22"/>
          <w:szCs w:val="22"/>
        </w:rPr>
        <w:t xml:space="preserve">Engineering Salary Uplift of 15%: Annualised cost of USD 0.28M. This would bring engineering compensation to the 75th percentile of the Nairobi tech market. Implementation from 1 April 2025.</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ESOP Pool Top-Up of 4%: Increasing the pool from 8% (nearly fully allocated) to 12% fully diluted. Enables retention grants for at-risk engineers and more competitive new-hire packages. IFRS 2 charge of approximately USD 44,000 per quarter (additional to the USD 28,000 currently not being recognised — see Audit Committee report).</w:t>
      </w:r>
    </w:p>
    <w:p>
      <w:pPr>
        <w:spacing w:after="80" w:before="0"/>
      </w:pPr>
    </w:p>
    <w:p>
      <w:pPr>
        <w:pStyle w:val="Heading2"/>
        <w:spacing w:after="100" w:before="280"/>
      </w:pPr>
      <w:r>
        <w:rPr>
          <w:rFonts w:ascii="Calibri" w:cs="Calibri" w:eastAsia="Calibri" w:hAnsi="Calibri"/>
          <w:b/>
          <w:bCs/>
          <w:color w:val="1E3A5F"/>
          <w:sz w:val="24"/>
          <w:szCs w:val="24"/>
        </w:rPr>
        <w:t xml:space="preserve">7.3  Discussion</w:t>
      </w:r>
    </w:p>
    <w:p>
      <w:pPr>
        <w:spacing w:after="120" w:before="80"/>
        <w:jc w:val="both"/>
      </w:pPr>
      <w:r>
        <w:rPr>
          <w:rFonts w:ascii="Calibri" w:cs="Calibri" w:eastAsia="Calibri" w:hAnsi="Calibri"/>
          <w:b w:val="false"/>
          <w:bCs w:val="false"/>
          <w:color w:val="1A1A2E"/>
          <w:sz w:val="22"/>
          <w:szCs w:val="22"/>
        </w:rPr>
        <w:t xml:space="preserve">Dr. Al-Rashid asked whether the salary uplift was sustainable given the company's current profitability. The CFO confirmed that at the current EBITDA run rate of USD 0.38M per quarter, the USD 70,000 per quarter incremental cost of the uplift was comfortably absorbable without reducing EBITDA below break-even. He confirmed that the Q2 revenue guidance already incorporated the uplift.</w:t>
      </w:r>
    </w:p>
    <w:p>
      <w:pPr>
        <w:spacing w:after="80" w:before="0"/>
      </w:pPr>
    </w:p>
    <w:p>
      <w:pPr>
        <w:spacing w:after="120" w:before="80"/>
        <w:jc w:val="both"/>
      </w:pPr>
      <w:r>
        <w:rPr>
          <w:rFonts w:ascii="Calibri" w:cs="Calibri" w:eastAsia="Calibri" w:hAnsi="Calibri"/>
          <w:b w:val="false"/>
          <w:bCs w:val="false"/>
          <w:color w:val="1A1A2E"/>
          <w:sz w:val="22"/>
          <w:szCs w:val="22"/>
        </w:rPr>
        <w:t xml:space="preserve">Mr. Okonkwo asked whether the ESOP top-up required shareholder approval or board approval only. The Company Secretary confirmed that under the Articles of Association and the Companies Act 2015, the board had authority to increase the ESOP pool up to the limit set by shareholders — which was 15% fully diluted. The proposed 12% (up from 8%) was within this limit and required board approval only.</w:t>
      </w:r>
    </w:p>
    <w:p>
      <w:pPr>
        <w:spacing w:after="80" w:before="0"/>
      </w:pPr>
    </w:p>
    <w:p>
      <w:pPr>
        <w:spacing w:after="120" w:before="80"/>
        <w:jc w:val="both"/>
      </w:pPr>
      <w:r>
        <w:rPr>
          <w:rFonts w:ascii="Calibri" w:cs="Calibri" w:eastAsia="Calibri" w:hAnsi="Calibri"/>
          <w:b w:val="false"/>
          <w:bCs w:val="false"/>
          <w:color w:val="1A1A2E"/>
          <w:sz w:val="22"/>
          <w:szCs w:val="22"/>
        </w:rPr>
        <w:t xml:space="preserve">The Chairman put both proposals to a vote. Both were approved unanimously.</w:t>
      </w:r>
    </w:p>
    <w:p>
      <w:pPr>
        <w:spacing w:after="200" w:before="0"/>
      </w:pPr>
    </w:p>
    <w:p>
      <w:pPr>
        <w:pStyle w:val="Heading1"/>
        <w:spacing w:after="140" w:before="400"/>
      </w:pPr>
      <w:r>
        <w:rPr>
          <w:rFonts w:ascii="Calibri" w:cs="Calibri" w:eastAsia="Calibri" w:hAnsi="Calibri"/>
          <w:b/>
          <w:bCs/>
          <w:color w:val="0D1B2A"/>
          <w:sz w:val="30"/>
          <w:szCs w:val="30"/>
        </w:rPr>
        <w:t xml:space="preserve">Item 8 — IT &amp; Digital Governance</w:t>
      </w:r>
    </w:p>
    <w:p>
      <w:pPr>
        <w:spacing w:after="120" w:before="80"/>
        <w:jc w:val="both"/>
      </w:pPr>
      <w:r>
        <w:rPr>
          <w:rFonts w:ascii="Calibri" w:cs="Calibri" w:eastAsia="Calibri" w:hAnsi="Calibri"/>
          <w:b w:val="false"/>
          <w:bCs w:val="false"/>
          <w:color w:val="1A1A2E"/>
          <w:sz w:val="22"/>
          <w:szCs w:val="22"/>
        </w:rPr>
        <w:t xml:space="preserve">The CTO, Mr. Babajide Okafor, presented the IT and digital governance update.</w:t>
      </w:r>
    </w:p>
    <w:p>
      <w:pPr>
        <w:spacing w:after="80" w:before="0"/>
      </w:pPr>
    </w:p>
    <w:p>
      <w:pPr>
        <w:pStyle w:val="Heading2"/>
        <w:spacing w:after="100" w:before="280"/>
      </w:pPr>
      <w:r>
        <w:rPr>
          <w:rFonts w:ascii="Calibri" w:cs="Calibri" w:eastAsia="Calibri" w:hAnsi="Calibri"/>
          <w:b/>
          <w:bCs/>
          <w:color w:val="1E3A5F"/>
          <w:sz w:val="24"/>
          <w:szCs w:val="24"/>
        </w:rPr>
        <w:t xml:space="preserve">8.1  Cortex Platform Reliability</w:t>
      </w:r>
    </w:p>
    <w:p>
      <w:pPr>
        <w:spacing w:after="120" w:before="80"/>
        <w:jc w:val="both"/>
      </w:pPr>
      <w:r>
        <w:rPr>
          <w:rFonts w:ascii="Calibri" w:cs="Calibri" w:eastAsia="Calibri" w:hAnsi="Calibri"/>
          <w:b w:val="false"/>
          <w:bCs w:val="false"/>
          <w:color w:val="1A1A2E"/>
          <w:sz w:val="22"/>
          <w:szCs w:val="22"/>
        </w:rPr>
        <w:t xml:space="preserve">The Cortex platform maintained 99.81% uptime in Q1 2025, above the 99.5% contractual SLA. One P1 incident occurred on 14 February 2025 — a database connection pool exhaustion event during concurrent peak load from three clients running end-of-month batch processes. The incident was resolved in 18 minutes. All affected clients were notified within 12 minutes and no SLA credit claims were received.</w:t>
      </w:r>
    </w:p>
    <w:p>
      <w:pPr>
        <w:spacing w:after="120" w:before="80"/>
        <w:jc w:val="both"/>
      </w:pPr>
      <w:r>
        <w:rPr>
          <w:rFonts w:ascii="Calibri" w:cs="Calibri" w:eastAsia="Calibri" w:hAnsi="Calibri"/>
          <w:b w:val="false"/>
          <w:bCs w:val="false"/>
          <w:color w:val="1A1A2E"/>
          <w:sz w:val="22"/>
          <w:szCs w:val="22"/>
        </w:rPr>
        <w:t xml:space="preserve">The CTO briefed the board on the post-incident remediation: connection pool limits were increased from 200 to 500 concurrent connections, and an auto-scaling trigger was deployed. No recurrence had occurred since the fix.</w:t>
      </w:r>
    </w:p>
    <w:p>
      <w:pPr>
        <w:spacing w:after="80" w:before="0"/>
      </w:pPr>
    </w:p>
    <w:p>
      <w:pPr>
        <w:pStyle w:val="Heading2"/>
        <w:spacing w:after="100" w:before="280"/>
      </w:pPr>
      <w:r>
        <w:rPr>
          <w:rFonts w:ascii="Calibri" w:cs="Calibri" w:eastAsia="Calibri" w:hAnsi="Calibri"/>
          <w:b/>
          <w:bCs/>
          <w:color w:val="1E3A5F"/>
          <w:sz w:val="24"/>
          <w:szCs w:val="24"/>
        </w:rPr>
        <w:t xml:space="preserve">8.2  ISO 27001 Certification — Progress</w:t>
      </w:r>
    </w:p>
    <w:p>
      <w:pPr>
        <w:spacing w:after="120" w:before="80"/>
        <w:jc w:val="both"/>
      </w:pPr>
      <w:r>
        <w:rPr>
          <w:rFonts w:ascii="Calibri" w:cs="Calibri" w:eastAsia="Calibri" w:hAnsi="Calibri"/>
          <w:b w:val="false"/>
          <w:bCs w:val="false"/>
          <w:color w:val="1A1A2E"/>
          <w:sz w:val="22"/>
          <w:szCs w:val="22"/>
        </w:rPr>
        <w:t xml:space="preserve">The pre-audit gap assessment conducted in March 2025 identified 11 gaps against ISO 27001:2022 requirements. Eight had been remediated in Q1. The three remaining gaps — asset inventory documentation, supplier management policy, and business continuity plan testing documentation — were targeted for closure by 30 April 2025.</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Audit Date: 14–15 May 2025, conducted by BSI Group.</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Commercial Significance: ISO 27001 certification is an explicit procurement requirement for several South Africa financial services clients and will be cited in the FirstRand RFP response. Failure to certify in May would require rescoping several SA commercial proposals.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CTO Confidence Level: High — the three remaining gaps are administrative rather than substantive.</w:t>
      </w:r>
    </w:p>
    <w:p>
      <w:pPr>
        <w:spacing w:after="80" w:before="0"/>
      </w:pPr>
    </w:p>
    <w:p>
      <w:pPr>
        <w:pStyle w:val="Heading2"/>
        <w:spacing w:after="100" w:before="280"/>
      </w:pPr>
      <w:r>
        <w:rPr>
          <w:rFonts w:ascii="Calibri" w:cs="Calibri" w:eastAsia="Calibri" w:hAnsi="Calibri"/>
          <w:b/>
          <w:bCs/>
          <w:color w:val="1E3A5F"/>
          <w:sz w:val="24"/>
          <w:szCs w:val="24"/>
        </w:rPr>
        <w:t xml:space="preserve">8.3  POPIA Data Residency Concern</w:t>
      </w:r>
    </w:p>
    <w:p>
      <w:pPr>
        <w:spacing w:after="120" w:before="80"/>
        <w:jc w:val="both"/>
      </w:pPr>
      <w:r>
        <w:rPr>
          <w:rFonts w:ascii="Calibri" w:cs="Calibri" w:eastAsia="Calibri" w:hAnsi="Calibri"/>
          <w:b w:val="false"/>
          <w:bCs w:val="false"/>
          <w:color w:val="1A1A2E"/>
          <w:sz w:val="22"/>
          <w:szCs w:val="22"/>
        </w:rPr>
        <w:t xml:space="preserve">The CTO flagged that three South Africa client datasets were currently being processed on AWS infrastructure in the eu-west-1 (Ireland) region. POPIA may require data of South African data subjects to be processed in South Africa (AWS af-south-1). Legal Counsel was assessing this and a recommendation would be provided to the board by 30 May 2025.</w:t>
      </w:r>
    </w:p>
    <w:p>
      <w:pPr>
        <w:spacing w:after="80" w:before="0"/>
      </w:pPr>
    </w:p>
    <w:p>
      <w:pPr>
        <w:spacing w:after="120" w:before="80"/>
        <w:jc w:val="both"/>
      </w:pPr>
      <w:r>
        <w:rPr>
          <w:rFonts w:ascii="Calibri" w:cs="Calibri" w:eastAsia="Calibri" w:hAnsi="Calibri"/>
          <w:b/>
          <w:bCs/>
          <w:color w:val="1A1A2E"/>
          <w:sz w:val="22"/>
          <w:szCs w:val="22"/>
        </w:rPr>
        <w:t xml:space="preserve">The board noted the POPIA data residency matter and requested that no new South Africa client data be routed to non-South Africa infrastructure pending the legal assessment.</w:t>
      </w:r>
    </w:p>
    <w:p>
      <w:pPr>
        <w:spacing w:after="200" w:before="0"/>
      </w:pPr>
    </w:p>
    <w:p>
      <w:pPr>
        <w:pStyle w:val="Heading1"/>
        <w:spacing w:after="140" w:before="400"/>
      </w:pPr>
      <w:r>
        <w:rPr>
          <w:rFonts w:ascii="Calibri" w:cs="Calibri" w:eastAsia="Calibri" w:hAnsi="Calibri"/>
          <w:b/>
          <w:bCs/>
          <w:color w:val="0D1B2A"/>
          <w:sz w:val="30"/>
          <w:szCs w:val="30"/>
        </w:rPr>
        <w:t xml:space="preserve">Item 9 — Legal &amp; Compliance</w:t>
      </w:r>
    </w:p>
    <w:p>
      <w:pPr>
        <w:spacing w:after="120" w:before="80"/>
        <w:jc w:val="both"/>
      </w:pPr>
      <w:r>
        <w:rPr>
          <w:rFonts w:ascii="Calibri" w:cs="Calibri" w:eastAsia="Calibri" w:hAnsi="Calibri"/>
          <w:b w:val="false"/>
          <w:bCs w:val="false"/>
          <w:color w:val="1A1A2E"/>
          <w:sz w:val="22"/>
          <w:szCs w:val="22"/>
        </w:rPr>
        <w:t xml:space="preserve">External Legal Counsel, Mr. Rahul Sharma of Kimani &amp; Associates, presented on two priority legal matters.</w:t>
      </w:r>
    </w:p>
    <w:p>
      <w:pPr>
        <w:spacing w:after="80" w:before="0"/>
      </w:pPr>
    </w:p>
    <w:p>
      <w:pPr>
        <w:pStyle w:val="Heading2"/>
        <w:spacing w:after="100" w:before="280"/>
      </w:pPr>
      <w:r>
        <w:rPr>
          <w:rFonts w:ascii="Calibri" w:cs="Calibri" w:eastAsia="Calibri" w:hAnsi="Calibri"/>
          <w:b/>
          <w:bCs/>
          <w:color w:val="1E3A5F"/>
          <w:sz w:val="24"/>
          <w:szCs w:val="24"/>
        </w:rPr>
        <w:t xml:space="preserve">9.1  South Africa Entity Incorporation</w:t>
      </w:r>
    </w:p>
    <w:p>
      <w:pPr>
        <w:spacing w:after="120" w:before="80"/>
        <w:jc w:val="both"/>
      </w:pPr>
      <w:r>
        <w:rPr>
          <w:rFonts w:ascii="Calibri" w:cs="Calibri" w:eastAsia="Calibri" w:hAnsi="Calibri"/>
          <w:b w:val="false"/>
          <w:bCs w:val="false"/>
          <w:color w:val="1A1A2E"/>
          <w:sz w:val="22"/>
          <w:szCs w:val="22"/>
        </w:rPr>
        <w:t xml:space="preserve">The CIPC filing for Lemasy SA (Pty) Ltd was submitted on 10 March 2025. Expected registration date: 10–15 April 2025. Post-registration requirements include SARS VAT and income tax registration, UIF and SDL registration with the Department of Labour, and novation of existing South Africa client contracts from Lemasy Kenya to Lemasy SA. Legal Counsel confirmed all steps were being managed and the process was on track.</w:t>
      </w:r>
    </w:p>
    <w:p>
      <w:pPr>
        <w:spacing w:after="80" w:before="0"/>
      </w:pPr>
    </w:p>
    <w:p>
      <w:pPr>
        <w:pStyle w:val="Heading2"/>
        <w:spacing w:after="100" w:before="280"/>
      </w:pPr>
      <w:r>
        <w:rPr>
          <w:rFonts w:ascii="Calibri" w:cs="Calibri" w:eastAsia="Calibri" w:hAnsi="Calibri"/>
          <w:b/>
          <w:bCs/>
          <w:color w:val="1E3A5F"/>
          <w:sz w:val="24"/>
          <w:szCs w:val="24"/>
        </w:rPr>
        <w:t xml:space="preserve">9.2  South Africa Contractor Misclassification</w:t>
      </w:r>
    </w:p>
    <w:p>
      <w:pPr>
        <w:spacing w:after="120" w:before="80"/>
        <w:jc w:val="both"/>
      </w:pPr>
      <w:r>
        <w:rPr>
          <w:rFonts w:ascii="Calibri" w:cs="Calibri" w:eastAsia="Calibri" w:hAnsi="Calibri"/>
          <w:b w:val="false"/>
          <w:bCs w:val="false"/>
          <w:color w:val="1A1A2E"/>
          <w:sz w:val="22"/>
          <w:szCs w:val="22"/>
        </w:rPr>
        <w:t xml:space="preserve">Legal Counsel confirmed the risk assessment: 4 of 11 South Africa-based contractors were operating without signed service agreements. Under the Labour Relations Act 66 of 1995 and the Basic Conditions of Employment Act, these individuals could be characterised as employees, creating potential PAYE, UIF, and SDL liability.</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Immediate Action: Kimani &amp; Associates are preparing a standard-form Independent Contractor Agreement compliant with both the LRA and BCEA. All 11 contractors to have signed agreements in place by 30 April 2025.</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Risk Assessment: Legal Counsel assessed the risk of a SARS challenge as low-to-medium, given the output-based nature of the engagements. However, the lack of written agreements creates unnecessary exposure.</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Board Instruction: The board directed management to ensure no further contractual engagements in South Africa are initiated without a signed service agreement in place from day one.</w:t>
      </w:r>
    </w:p>
    <w:p>
      <w:pPr>
        <w:spacing w:after="200" w:before="0"/>
      </w:pPr>
    </w:p>
    <w:p>
      <w:pPr>
        <w:pStyle w:val="Heading1"/>
        <w:spacing w:after="140" w:before="400"/>
      </w:pPr>
      <w:r>
        <w:rPr>
          <w:rFonts w:ascii="Calibri" w:cs="Calibri" w:eastAsia="Calibri" w:hAnsi="Calibri"/>
          <w:b/>
          <w:bCs/>
          <w:color w:val="0D1B2A"/>
          <w:sz w:val="30"/>
          <w:szCs w:val="30"/>
        </w:rPr>
        <w:t xml:space="preserve">Item 10 — Risk Committee Report</w:t>
      </w:r>
    </w:p>
    <w:p>
      <w:pPr>
        <w:spacing w:after="120" w:before="80"/>
        <w:jc w:val="both"/>
      </w:pPr>
      <w:r>
        <w:rPr>
          <w:rFonts w:ascii="Calibri" w:cs="Calibri" w:eastAsia="Calibri" w:hAnsi="Calibri"/>
          <w:b w:val="false"/>
          <w:bCs w:val="false"/>
          <w:color w:val="1A1A2E"/>
          <w:sz w:val="22"/>
          <w:szCs w:val="22"/>
        </w:rPr>
        <w:t xml:space="preserve">Mr. Chidi Okonkwo, as Chair of the Risk Committee, presented the Q1 2025 enterprise risk register.</w:t>
      </w:r>
    </w:p>
    <w:p>
      <w:pPr>
        <w:spacing w:after="80" w:before="0"/>
      </w:pPr>
    </w:p>
    <w:p>
      <w:pPr>
        <w:spacing w:after="120" w:before="80"/>
        <w:jc w:val="both"/>
      </w:pPr>
      <w:r>
        <w:rPr>
          <w:rFonts w:ascii="Calibri" w:cs="Calibri" w:eastAsia="Calibri" w:hAnsi="Calibri"/>
          <w:b w:val="false"/>
          <w:bCs w:val="false"/>
          <w:color w:val="1A1A2E"/>
          <w:sz w:val="22"/>
          <w:szCs w:val="22"/>
        </w:rPr>
        <w:t xml:space="preserve">The total risk count remained at 12. One new High-rated risk was added in Q1: the South Africa contractor misclassification risk (R-03). One previously High-rated risk — co-founder dependency — was downgraded to Low following the formalisation of a business continuity plan and key person insurance policy in Q4 2024.</w:t>
      </w:r>
    </w:p>
    <w:p>
      <w:pPr>
        <w:spacing w:after="80" w:before="0"/>
      </w:pPr>
    </w:p>
    <w:p>
      <w:pPr>
        <w:spacing w:after="120" w:before="80"/>
        <w:jc w:val="both"/>
      </w:pPr>
      <w:r>
        <w:rPr>
          <w:rFonts w:ascii="Calibri" w:cs="Calibri" w:eastAsia="Calibri" w:hAnsi="Calibri"/>
          <w:b w:val="false"/>
          <w:bCs w:val="false"/>
          <w:color w:val="1A1A2E"/>
          <w:sz w:val="22"/>
          <w:szCs w:val="22"/>
        </w:rPr>
        <w:t xml:space="preserve">Mr. Okonkwo highlighted the three High-rated risks requiring board attention:</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R-01 (Engineering Attrition): Addressed under Item 7 — salary uplift and ESOP top-up approved.</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R-02 (Client Concentration): The board noted that concentration risk would only materially reduce once Lemasy reached 20+ active enterprise clients. The commercial strategy was the mitigation.</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R-03 (SA Contractor Misclassification): Addressed under Item 9 — remediation underway.</w:t>
      </w:r>
    </w:p>
    <w:p>
      <w:pPr>
        <w:spacing w:after="80" w:before="0"/>
      </w:pPr>
    </w:p>
    <w:p>
      <w:pPr>
        <w:spacing w:after="120" w:before="80"/>
        <w:jc w:val="both"/>
      </w:pPr>
      <w:r>
        <w:rPr>
          <w:rFonts w:ascii="Calibri" w:cs="Calibri" w:eastAsia="Calibri" w:hAnsi="Calibri"/>
          <w:b w:val="false"/>
          <w:bCs w:val="false"/>
          <w:color w:val="1A1A2E"/>
          <w:sz w:val="22"/>
          <w:szCs w:val="22"/>
        </w:rPr>
        <w:t xml:space="preserve">The Risk Committee noted with interest the emerging risk of AI governance regulation in both Kenya and South Africa. The CBK guidance note published in February 2025 and the FSCA discussion paper on responsible AI were both tracked. The committee recommended the board formally adopt an AI Ethics &amp; Governance Policy in Q2 2025, to be prepared by the CTO.</w:t>
      </w:r>
    </w:p>
    <w:p>
      <w:pPr>
        <w:spacing w:after="200" w:before="0"/>
      </w:pPr>
    </w:p>
    <w:p>
      <w:pPr>
        <w:pStyle w:val="Heading1"/>
        <w:spacing w:after="140" w:before="400"/>
      </w:pPr>
      <w:r>
        <w:rPr>
          <w:rFonts w:ascii="Calibri" w:cs="Calibri" w:eastAsia="Calibri" w:hAnsi="Calibri"/>
          <w:b/>
          <w:bCs/>
          <w:color w:val="0D1B2A"/>
          <w:sz w:val="30"/>
          <w:szCs w:val="30"/>
        </w:rPr>
        <w:t xml:space="preserve">Item 11 — Audit Committee Report</w:t>
      </w:r>
    </w:p>
    <w:p>
      <w:pPr>
        <w:spacing w:after="120" w:before="80"/>
        <w:jc w:val="both"/>
      </w:pPr>
      <w:r>
        <w:rPr>
          <w:rFonts w:ascii="Calibri" w:cs="Calibri" w:eastAsia="Calibri" w:hAnsi="Calibri"/>
          <w:b w:val="false"/>
          <w:bCs w:val="false"/>
          <w:color w:val="1A1A2E"/>
          <w:sz w:val="22"/>
          <w:szCs w:val="22"/>
        </w:rPr>
        <w:t xml:space="preserve">Ms. Nadia Kamau, as Chair of the Audit Committee, presented the Q1 2025 Audit Committee report.</w:t>
      </w:r>
    </w:p>
    <w:p>
      <w:pPr>
        <w:spacing w:after="80" w:before="0"/>
      </w:pPr>
    </w:p>
    <w:p>
      <w:pPr>
        <w:pStyle w:val="ListParagraph"/>
        <w:numPr>
          <w:ilvl w:val="0"/>
          <w:numId w:val="2"/>
        </w:numPr>
        <w:spacing w:after="60" w:before="60"/>
      </w:pPr>
      <w:r>
        <w:rPr>
          <w:rFonts w:ascii="Calibri" w:cs="Calibri" w:eastAsia="Calibri" w:hAnsi="Calibri"/>
          <w:b w:val="false"/>
          <w:bCs w:val="false"/>
          <w:color w:val="1A1A2E"/>
          <w:sz w:val="22"/>
          <w:szCs w:val="22"/>
        </w:rPr>
        <w:t xml:space="preserve">Five internal control findings were identified in Q1 — all low-to-medium severity. The most significant was the IFRS 15 revenue recognition issue on the Safaricom contract (addressed under Item 5).</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The Audit Committee directed the CFO to implement a formal revenue recognition sign-off workflow and produce a written IFRS 15 policy by 30 April 2025.</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The ESOP accounting (IFRS 2) had not been accrued in Q1 management accounts — an error of USD 28,000. This will be corrected from Q2 2025 onwards, and the incremental charge from the approved ESOP top-up (USD 44,000 per quarter) will be included from Q2.</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The Audit Committee recommended the board consider appointing a part-time internal auditor or extending the Apex Advisory mandate to provide more structured internal audit coverage, given the company's growing complexity.</w:t>
      </w:r>
    </w:p>
    <w:p>
      <w:pPr>
        <w:spacing w:after="80" w:before="0"/>
      </w:pPr>
    </w:p>
    <w:p>
      <w:pPr>
        <w:spacing w:after="120" w:before="80"/>
        <w:jc w:val="both"/>
      </w:pPr>
      <w:r>
        <w:rPr>
          <w:rFonts w:ascii="Calibri" w:cs="Calibri" w:eastAsia="Calibri" w:hAnsi="Calibri"/>
          <w:b w:val="false"/>
          <w:bCs w:val="false"/>
          <w:color w:val="1A1A2E"/>
          <w:sz w:val="22"/>
          <w:szCs w:val="22"/>
        </w:rPr>
        <w:t xml:space="preserve">The board thanked Ms. Kamau for the thorough Audit Committee report and noted the recommendation for enhanced internal audit coverage as a Q2 agenda item.</w:t>
      </w:r>
    </w:p>
    <w:p>
      <w:pPr>
        <w:spacing w:after="200" w:before="0"/>
      </w:pPr>
    </w:p>
    <w:p>
      <w:pPr>
        <w:pStyle w:val="Heading1"/>
        <w:spacing w:after="140" w:before="400"/>
      </w:pPr>
      <w:r>
        <w:rPr>
          <w:rFonts w:ascii="Calibri" w:cs="Calibri" w:eastAsia="Calibri" w:hAnsi="Calibri"/>
          <w:b/>
          <w:bCs/>
          <w:color w:val="0D1B2A"/>
          <w:sz w:val="30"/>
          <w:szCs w:val="30"/>
        </w:rPr>
        <w:t xml:space="preserve">Item 12 — Board Resolutions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5760"/>
        <w:gridCol w:w="1620"/>
        <w:gridCol w:w="1106"/>
      </w:tblGrid>
      <w:tr>
        <w:tc>
          <w:tcPr>
            <w:tcW w:type="dxa" w:w="54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No.</w:t>
            </w:r>
          </w:p>
        </w:tc>
        <w:tc>
          <w:tcPr>
            <w:tcW w:type="dxa" w:w="576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Resolution</w:t>
            </w:r>
          </w:p>
        </w:tc>
        <w:tc>
          <w:tcPr>
            <w:tcW w:type="dxa" w:w="162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Vote</w:t>
            </w:r>
          </w:p>
        </w:tc>
        <w:tc>
          <w:tcPr>
            <w:tcW w:type="dxa" w:w="110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Result</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R1</w:t>
            </w:r>
          </w:p>
        </w:tc>
        <w:tc>
          <w:tcPr>
            <w:tcW w:type="dxa" w:w="576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Adoption of Q4 2024 Board Minutes</w:t>
            </w:r>
          </w:p>
        </w:tc>
        <w:tc>
          <w:tcPr>
            <w:tcW w:type="dxa" w:w="16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6 for / 0 against</w:t>
            </w:r>
          </w:p>
        </w:tc>
        <w:tc>
          <w:tcPr>
            <w:tcW w:type="dxa" w:w="110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1D7A55"/>
                <w:sz w:val="20"/>
                <w:szCs w:val="20"/>
              </w:rPr>
              <w:t xml:space="preserve">Passed</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R2</w:t>
            </w:r>
          </w:p>
        </w:tc>
        <w:tc>
          <w:tcPr>
            <w:tcW w:type="dxa" w:w="576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Approval of 15% Engineering Salary Uplift — annualised cost USD 0.28M, effective 1 April 2025</w:t>
            </w:r>
          </w:p>
        </w:tc>
        <w:tc>
          <w:tcPr>
            <w:tcW w:type="dxa" w:w="16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6 for / 0 against</w:t>
            </w:r>
          </w:p>
        </w:tc>
        <w:tc>
          <w:tcPr>
            <w:tcW w:type="dxa" w:w="110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1D7A55"/>
                <w:sz w:val="20"/>
                <w:szCs w:val="20"/>
              </w:rPr>
              <w:t xml:space="preserve">Passed</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R3</w:t>
            </w:r>
          </w:p>
        </w:tc>
        <w:tc>
          <w:tcPr>
            <w:tcW w:type="dxa" w:w="576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Approval of ESOP Pool Top-Up — increase from 8% to 12% fully diluted; IFRS 2 charge USD 44K per quarter</w:t>
            </w:r>
          </w:p>
        </w:tc>
        <w:tc>
          <w:tcPr>
            <w:tcW w:type="dxa" w:w="16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6 for / 0 against</w:t>
            </w:r>
          </w:p>
        </w:tc>
        <w:tc>
          <w:tcPr>
            <w:tcW w:type="dxa" w:w="110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1D7A55"/>
                <w:sz w:val="20"/>
                <w:szCs w:val="20"/>
              </w:rPr>
              <w:t xml:space="preserve">Passed</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R4</w:t>
            </w:r>
          </w:p>
        </w:tc>
        <w:tc>
          <w:tcPr>
            <w:tcW w:type="dxa" w:w="576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Board Instruction — no new South Africa contractor engagements without signed service agreements</w:t>
            </w:r>
          </w:p>
        </w:tc>
        <w:tc>
          <w:tcPr>
            <w:tcW w:type="dxa" w:w="16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Noted / Directed</w:t>
            </w:r>
          </w:p>
        </w:tc>
        <w:tc>
          <w:tcPr>
            <w:tcW w:type="dxa" w:w="110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1D7A55"/>
                <w:sz w:val="20"/>
                <w:szCs w:val="20"/>
              </w:rPr>
              <w:t xml:space="preserve">Adopted</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R5</w:t>
            </w:r>
          </w:p>
        </w:tc>
        <w:tc>
          <w:tcPr>
            <w:tcW w:type="dxa" w:w="576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Board Instruction — no new SA client data to be routed to non-SA infrastructure pending POPIA assessment</w:t>
            </w:r>
          </w:p>
        </w:tc>
        <w:tc>
          <w:tcPr>
            <w:tcW w:type="dxa" w:w="16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Noted / Directed</w:t>
            </w:r>
          </w:p>
        </w:tc>
        <w:tc>
          <w:tcPr>
            <w:tcW w:type="dxa" w:w="110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1D7A55"/>
                <w:sz w:val="20"/>
                <w:szCs w:val="20"/>
              </w:rPr>
              <w:t xml:space="preserve">Adopted</w:t>
            </w:r>
          </w:p>
        </w:tc>
      </w:tr>
    </w:tbl>
    <w:p>
      <w:pPr>
        <w:spacing w:after="200" w:before="0"/>
      </w:pPr>
    </w:p>
    <w:p>
      <w:pPr>
        <w:pStyle w:val="Heading1"/>
        <w:spacing w:after="140" w:before="400"/>
      </w:pPr>
      <w:r>
        <w:rPr>
          <w:rFonts w:ascii="Calibri" w:cs="Calibri" w:eastAsia="Calibri" w:hAnsi="Calibri"/>
          <w:b/>
          <w:bCs/>
          <w:color w:val="0D1B2A"/>
          <w:sz w:val="30"/>
          <w:szCs w:val="30"/>
        </w:rPr>
        <w:t xml:space="preserve">Item 13 — Any Other Business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Dr. Al-Rashid raised the matter of the board's skills composition, noting that as an AI company the board would benefit from at least one director with a specific AI/technology regulatory background. She volunteered to lead a board skills assessment and present findings at the Q2 board. The Chairman agreed.</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The CCO informed the board that Lemasy had been approached by two accelerator programmes — Google for Startups Africa and the FCDO Kenya Tech Challenge — to participate as a featured AI company. Management was evaluating the commercial and brand benefit of participation. No board decision was required.</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The Chairman formally congratulated the CEO and the Lemasy team on the USD 2M quarterly revenue milestone and noted it as a landmark moment in the company's development.</w:t>
      </w:r>
    </w:p>
    <w:p>
      <w:pPr>
        <w:spacing w:after="200" w:before="0"/>
      </w:pPr>
    </w:p>
    <w:p>
      <w:pPr>
        <w:pStyle w:val="Heading1"/>
        <w:spacing w:after="140" w:before="400"/>
      </w:pPr>
      <w:r>
        <w:rPr>
          <w:rFonts w:ascii="Calibri" w:cs="Calibri" w:eastAsia="Calibri" w:hAnsi="Calibri"/>
          <w:b/>
          <w:bCs/>
          <w:color w:val="0D1B2A"/>
          <w:sz w:val="30"/>
          <w:szCs w:val="30"/>
        </w:rPr>
        <w:t xml:space="preserve">Item 14 — Date of Next Meeting</w:t>
      </w:r>
    </w:p>
    <w:p>
      <w:pPr>
        <w:spacing w:after="120" w:before="80"/>
        <w:jc w:val="both"/>
      </w:pPr>
      <w:r>
        <w:rPr>
          <w:rFonts w:ascii="Calibri" w:cs="Calibri" w:eastAsia="Calibri" w:hAnsi="Calibri"/>
          <w:b w:val="false"/>
          <w:bCs w:val="false"/>
          <w:color w:val="1A1A2E"/>
          <w:sz w:val="22"/>
          <w:szCs w:val="22"/>
        </w:rPr>
        <w:t xml:space="preserve">The next meeting of the Board of Directors was confirmed as: </w:t>
      </w:r>
      <w:r>
        <w:rPr>
          <w:rFonts w:ascii="Calibri" w:cs="Calibri" w:eastAsia="Calibri" w:hAnsi="Calibri"/>
          <w:b/>
          <w:bCs/>
          <w:color w:val="0D1B2A"/>
          <w:sz w:val="22"/>
          <w:szCs w:val="22"/>
        </w:rPr>
        <w:t xml:space="preserve">Friday, 27 June 2025</w:t>
      </w:r>
      <w:r>
        <w:rPr>
          <w:rFonts w:ascii="Calibri" w:cs="Calibri" w:eastAsia="Calibri" w:hAnsi="Calibri"/>
          <w:b w:val="false"/>
          <w:bCs w:val="false"/>
          <w:color w:val="1A1A2E"/>
          <w:sz w:val="22"/>
          <w:szCs w:val="22"/>
        </w:rPr>
        <w:t xml:space="preserve">, at 09:00 EAT. Venue: Lemasy Headquarters — Boardroom, 4th Floor, Westlands Business Park, Nairobi. Board papers to be circulated no later than </w:t>
      </w:r>
      <w:r>
        <w:rPr>
          <w:rFonts w:ascii="Calibri" w:cs="Calibri" w:eastAsia="Calibri" w:hAnsi="Calibri"/>
          <w:b/>
          <w:bCs/>
          <w:color w:val="1A1A2E"/>
          <w:sz w:val="22"/>
          <w:szCs w:val="22"/>
        </w:rPr>
        <w:t xml:space="preserve">20 June 2025</w:t>
      </w:r>
      <w:r>
        <w:rPr>
          <w:rFonts w:ascii="Calibri" w:cs="Calibri" w:eastAsia="Calibri" w:hAnsi="Calibri"/>
          <w:b w:val="false"/>
          <w:bCs w:val="false"/>
          <w:color w:val="1A1A2E"/>
          <w:sz w:val="22"/>
          <w:szCs w:val="22"/>
        </w:rPr>
        <w:t xml:space="preserve">.</w:t>
      </w:r>
    </w:p>
    <w:p>
      <w:pPr>
        <w:spacing w:after="120" w:before="80"/>
        <w:jc w:val="both"/>
      </w:pPr>
      <w:r>
        <w:rPr>
          <w:rFonts w:ascii="Calibri" w:cs="Calibri" w:eastAsia="Calibri" w:hAnsi="Calibri"/>
          <w:b w:val="false"/>
          <w:bCs w:val="false"/>
          <w:color w:val="1A1A2E"/>
          <w:sz w:val="22"/>
          <w:szCs w:val="22"/>
        </w:rPr>
        <w:t xml:space="preserve">The Chairman thanked all members for a productive meeting and declared it closed at 13:20 EAT.</w:t>
      </w:r>
    </w:p>
    <w:p>
      <w:pPr>
        <w:spacing w:after="200" w:before="0"/>
      </w:pPr>
    </w:p>
    <w:p>
      <w:pPr>
        <w:pStyle w:val="Heading1"/>
        <w:spacing w:after="140" w:before="400"/>
      </w:pPr>
      <w:r>
        <w:rPr>
          <w:rFonts w:ascii="Calibri" w:cs="Calibri" w:eastAsia="Calibri" w:hAnsi="Calibri"/>
          <w:b/>
          <w:bCs/>
          <w:color w:val="0D1B2A"/>
          <w:sz w:val="30"/>
          <w:szCs w:val="30"/>
        </w:rPr>
        <w:t xml:space="preserve">Action Items Register — Q1 2025 Board Meeting</w:t>
      </w:r>
    </w:p>
    <w:p>
      <w:pPr>
        <w:pBdr>
          <w:bottom w:val="single" w:color="00B4D8" w:sz="8" w:space="1"/>
        </w:pBdr>
        <w:spacing w:after="0"/>
      </w:pP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4320"/>
        <w:gridCol w:w="2166"/>
        <w:gridCol w:w="2000"/>
      </w:tblGrid>
      <w:tr>
        <w:tc>
          <w:tcPr>
            <w:tcW w:type="dxa" w:w="54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Ref</w:t>
            </w:r>
          </w:p>
        </w:tc>
        <w:tc>
          <w:tcPr>
            <w:tcW w:type="dxa" w:w="432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Action</w:t>
            </w:r>
          </w:p>
        </w:tc>
        <w:tc>
          <w:tcPr>
            <w:tcW w:type="dxa" w:w="216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Owner</w:t>
            </w:r>
          </w:p>
        </w:tc>
        <w:tc>
          <w:tcPr>
            <w:tcW w:type="dxa" w:w="20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Deadline</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Q1-A1</w:t>
            </w:r>
          </w:p>
        </w:tc>
        <w:tc>
          <w:tcPr>
            <w:tcW w:type="dxa" w:w="43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Engineering Salary Uplift: Implement 15% salary uplift for engineering function effective 1 April 2025; CFO to confirm payroll adjustment</w:t>
            </w:r>
          </w:p>
        </w:tc>
        <w:tc>
          <w:tcPr>
            <w:tcW w:type="dxa" w:w="216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CFO / CPO</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15 April 2025</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Q1-A2</w:t>
            </w:r>
          </w:p>
        </w:tc>
        <w:tc>
          <w:tcPr>
            <w:tcW w:type="dxa" w:w="43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ESOP Top-Up: Company Secretary to update cap table and prepare option grant documentation for the 4% additional ESOP pool</w:t>
            </w:r>
          </w:p>
        </w:tc>
        <w:tc>
          <w:tcPr>
            <w:tcW w:type="dxa" w:w="216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Company Secretary</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30 April 2025</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Q1-A3</w:t>
            </w:r>
          </w:p>
        </w:tc>
        <w:tc>
          <w:tcPr>
            <w:tcW w:type="dxa" w:w="43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IFRS 15 Revenue Policy: CFO to produce written revenue recognition policy under IFRS 15; circulate to Audit Committee for review</w:t>
            </w:r>
          </w:p>
        </w:tc>
        <w:tc>
          <w:tcPr>
            <w:tcW w:type="dxa" w:w="216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CFO</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30 April 2025</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Q1-A4</w:t>
            </w:r>
          </w:p>
        </w:tc>
        <w:tc>
          <w:tcPr>
            <w:tcW w:type="dxa" w:w="43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SA Contractor Agreements: All 11 SA contractors to have signed independent contractor agreements</w:t>
            </w:r>
          </w:p>
        </w:tc>
        <w:tc>
          <w:tcPr>
            <w:tcW w:type="dxa" w:w="216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CEO / Kimani &amp; Associates</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30 April 2025</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Q1-A5</w:t>
            </w:r>
          </w:p>
        </w:tc>
        <w:tc>
          <w:tcPr>
            <w:tcW w:type="dxa" w:w="43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SA Entity Incorporation: CFO to confirm Lemasy SA (Pty) Ltd registration and open ZAR bank account</w:t>
            </w:r>
          </w:p>
        </w:tc>
        <w:tc>
          <w:tcPr>
            <w:tcW w:type="dxa" w:w="216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CFO</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30 April 2025</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Q1-A6</w:t>
            </w:r>
          </w:p>
        </w:tc>
        <w:tc>
          <w:tcPr>
            <w:tcW w:type="dxa" w:w="43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POPIA Data Residency: Legal Counsel to deliver written assessment and recommendation on AWS data residency for SA clients</w:t>
            </w:r>
          </w:p>
        </w:tc>
        <w:tc>
          <w:tcPr>
            <w:tcW w:type="dxa" w:w="216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CTO / Legal</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30 May 2025</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Q1-A7</w:t>
            </w:r>
          </w:p>
        </w:tc>
        <w:tc>
          <w:tcPr>
            <w:tcW w:type="dxa" w:w="43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ISO 27001: CTO to close 3 remaining gaps by 30 April; audit 14–15 May; outcome to Q2 board</w:t>
            </w:r>
          </w:p>
        </w:tc>
        <w:tc>
          <w:tcPr>
            <w:tcW w:type="dxa" w:w="216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CTO</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Q2 Board — 27 Jun 2025</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Q1-A8</w:t>
            </w:r>
          </w:p>
        </w:tc>
        <w:tc>
          <w:tcPr>
            <w:tcW w:type="dxa" w:w="43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FirstRand Update: CEO to provide written update on engagement status and next steps</w:t>
            </w:r>
          </w:p>
        </w:tc>
        <w:tc>
          <w:tcPr>
            <w:tcW w:type="dxa" w:w="216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CEO</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15 May 2025</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Q1-A9</w:t>
            </w:r>
          </w:p>
        </w:tc>
        <w:tc>
          <w:tcPr>
            <w:tcW w:type="dxa" w:w="43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Internal Audit Review: Audit Committee Chair to present recommendation on enhanced internal audit coverage</w:t>
            </w:r>
          </w:p>
        </w:tc>
        <w:tc>
          <w:tcPr>
            <w:tcW w:type="dxa" w:w="216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Ms. N. Kamau</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Q2 Board — 27 Jun 2025</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Q1-A10</w:t>
            </w:r>
          </w:p>
        </w:tc>
        <w:tc>
          <w:tcPr>
            <w:tcW w:type="dxa" w:w="43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AI Ethics Policy: CTO to prepare draft AI Ethics &amp; Governance Policy for board adoption</w:t>
            </w:r>
          </w:p>
        </w:tc>
        <w:tc>
          <w:tcPr>
            <w:tcW w:type="dxa" w:w="216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CTO</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Q2 Board — 27 Jun 2025</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Q1-A11</w:t>
            </w:r>
          </w:p>
        </w:tc>
        <w:tc>
          <w:tcPr>
            <w:tcW w:type="dxa" w:w="43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Board Skills Assessment: Dr. Al-Rashid to lead board skills assessment and present findings</w:t>
            </w:r>
          </w:p>
        </w:tc>
        <w:tc>
          <w:tcPr>
            <w:tcW w:type="dxa" w:w="216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Dr. F. Al-Rashid</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Q2 Board — 27 Jun 2025</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Q1-A12</w:t>
            </w:r>
          </w:p>
        </w:tc>
        <w:tc>
          <w:tcPr>
            <w:tcW w:type="dxa" w:w="43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ESOP IFRS 2 Accrual: CFO to include IFRS 2 ESOP charge (USD 72K/quarter total) in all management accounts from Q2</w:t>
            </w:r>
          </w:p>
        </w:tc>
        <w:tc>
          <w:tcPr>
            <w:tcW w:type="dxa" w:w="216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CFO</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Q2 Management Accounts</w:t>
            </w:r>
          </w:p>
        </w:tc>
      </w:tr>
    </w:tbl>
    <w:p>
      <w:pPr>
        <w:spacing w:after="300" w:before="0"/>
      </w:pPr>
    </w:p>
    <w:p>
      <w:pPr>
        <w:pStyle w:val="Heading1"/>
        <w:spacing w:after="140" w:before="400"/>
      </w:pPr>
      <w:r>
        <w:rPr>
          <w:rFonts w:ascii="Calibri" w:cs="Calibri" w:eastAsia="Calibri" w:hAnsi="Calibri"/>
          <w:b/>
          <w:bCs/>
          <w:color w:val="0D1B2A"/>
          <w:sz w:val="30"/>
          <w:szCs w:val="30"/>
        </w:rPr>
        <w:t xml:space="preserve">Confirmation and Signature</w:t>
      </w:r>
    </w:p>
    <w:p>
      <w:pPr>
        <w:spacing w:after="120" w:before="80"/>
        <w:jc w:val="both"/>
      </w:pPr>
      <w:r>
        <w:rPr>
          <w:rFonts w:ascii="Calibri" w:cs="Calibri" w:eastAsia="Calibri" w:hAnsi="Calibri"/>
          <w:b w:val="false"/>
          <w:bCs w:val="false"/>
          <w:color w:val="1A1A2E"/>
          <w:sz w:val="22"/>
          <w:szCs w:val="22"/>
        </w:rPr>
        <w:t xml:space="preserve">These minutes are a true and accurate record of the proceedings of the Board of Directors of Lemasy Limited at its meeting held on 28 March 2025.</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720"/>
            </w:pPr>
            <w:r>
              <w:rPr>
                <w:rFonts w:ascii="Calibri" w:cs="Calibri" w:eastAsia="Calibri" w:hAnsi="Calibri"/>
                <w:color w:val="7B8FA6"/>
                <w:sz w:val="22"/>
                <w:szCs w:val="22"/>
              </w:rPr>
              <w:t xml:space="preserve">Chairman</w:t>
            </w:r>
          </w:p>
          <w:p>
            <w:pPr>
              <w:pBdr>
                <w:bottom w:val="single" w:color="7B8FA6" w:sz="4" w:space="1"/>
              </w:pBdr>
              <w:spacing w:after="80"/>
            </w:pPr>
          </w:p>
          <w:p>
            <w:pPr>
              <w:spacing w:after="40" w:before="80"/>
            </w:pPr>
            <w:r>
              <w:rPr>
                <w:rFonts w:ascii="Calibri" w:cs="Calibri" w:eastAsia="Calibri" w:hAnsi="Calibri"/>
                <w:b/>
                <w:bCs/>
                <w:color w:val="0D1B2A"/>
                <w:sz w:val="22"/>
                <w:szCs w:val="22"/>
              </w:rPr>
              <w:t xml:space="preserve">Mr. Kwesi Boateng</w:t>
            </w:r>
          </w:p>
          <w:p>
            <w:r>
              <w:rPr>
                <w:rFonts w:ascii="Calibri" w:cs="Calibri" w:eastAsia="Calibri" w:hAnsi="Calibri"/>
                <w:color w:val="7B8FA6"/>
                <w:sz w:val="20"/>
                <w:szCs w:val="20"/>
              </w:rPr>
              <w:t xml:space="preserve">Non-Executive Chairman, Lemasy Limited</w:t>
            </w:r>
          </w:p>
          <w:p>
            <w:pPr>
              <w:spacing w:before="80"/>
            </w:pPr>
            <w:r>
              <w:rPr>
                <w:rFonts w:ascii="Calibri" w:cs="Calibri" w:eastAsia="Calibri" w:hAnsi="Calibri"/>
                <w:color w:val="7B8FA6"/>
                <w:sz w:val="20"/>
                <w:szCs w:val="20"/>
              </w:rPr>
              <w:t xml:space="preserve">Date: ___________________________</w:t>
            </w:r>
          </w:p>
        </w:tc>
        <w:tc>
          <w:tcPr>
            <w:tcW w:type="dxa" w:w="4526"/>
            <w:tcBorders>
              <w:top w:val="none" w:color="FFFFFF" w:sz="0"/>
              <w:left w:val="none" w:color="FFFFFF" w:sz="0"/>
              <w:bottom w:val="none" w:color="FFFFFF" w:sz="0"/>
              <w:right w:val="none" w:color="FFFFFF" w:sz="0"/>
            </w:tcBorders>
            <w:tcMar>
              <w:top w:type="dxa" w:w="80"/>
              <w:left w:type="dxa" w:w="200"/>
              <w:bottom w:type="dxa" w:w="80"/>
              <w:right w:type="dxa" w:w="0"/>
            </w:tcMar>
          </w:tcPr>
          <w:p>
            <w:pPr>
              <w:spacing w:after="720"/>
            </w:pPr>
            <w:r>
              <w:rPr>
                <w:rFonts w:ascii="Calibri" w:cs="Calibri" w:eastAsia="Calibri" w:hAnsi="Calibri"/>
                <w:color w:val="7B8FA6"/>
                <w:sz w:val="22"/>
                <w:szCs w:val="22"/>
              </w:rPr>
              <w:t xml:space="preserve">Company Secretary</w:t>
            </w:r>
          </w:p>
          <w:p>
            <w:pPr>
              <w:pBdr>
                <w:bottom w:val="single" w:color="7B8FA6" w:sz="4" w:space="1"/>
              </w:pBdr>
              <w:spacing w:after="80"/>
            </w:pPr>
          </w:p>
          <w:p>
            <w:pPr>
              <w:spacing w:after="40" w:before="80"/>
            </w:pPr>
            <w:r>
              <w:rPr>
                <w:rFonts w:ascii="Calibri" w:cs="Calibri" w:eastAsia="Calibri" w:hAnsi="Calibri"/>
                <w:b/>
                <w:bCs/>
                <w:color w:val="0D1B2A"/>
                <w:sz w:val="22"/>
                <w:szCs w:val="22"/>
              </w:rPr>
              <w:t xml:space="preserve">Ms. Zara Ngugi Mwangi</w:t>
            </w:r>
          </w:p>
          <w:p>
            <w:r>
              <w:rPr>
                <w:rFonts w:ascii="Calibri" w:cs="Calibri" w:eastAsia="Calibri" w:hAnsi="Calibri"/>
                <w:color w:val="7B8FA6"/>
                <w:sz w:val="20"/>
                <w:szCs w:val="20"/>
              </w:rPr>
              <w:t xml:space="preserve">Company Secretary, Lemasy Limited</w:t>
            </w:r>
          </w:p>
          <w:p>
            <w:pPr>
              <w:spacing w:before="80"/>
            </w:pPr>
            <w:r>
              <w:rPr>
                <w:rFonts w:ascii="Calibri" w:cs="Calibri" w:eastAsia="Calibri" w:hAnsi="Calibri"/>
                <w:color w:val="7B8FA6"/>
                <w:sz w:val="20"/>
                <w:szCs w:val="20"/>
              </w:rPr>
              <w:t xml:space="preserve">Date: ___________________________</w:t>
            </w:r>
          </w:p>
        </w:tc>
      </w:tr>
    </w:tbl>
    <w:p>
      <w:pPr>
        <w:spacing w:after="200" w:before="0"/>
      </w:pPr>
    </w:p>
    <w:p>
      <w:pPr>
        <w:pBdr>
          <w:bottom w:val="single" w:color="7B8FA6" w:sz="4" w:space="1"/>
        </w:pBdr>
        <w:spacing w:after="0"/>
      </w:pPr>
    </w:p>
    <w:p>
      <w:pPr>
        <w:spacing w:after="80" w:before="0"/>
      </w:pPr>
    </w:p>
    <w:p>
      <w:pPr>
        <w:spacing w:after="120" w:before="80"/>
        <w:jc w:val="both"/>
      </w:pPr>
      <w:r>
        <w:rPr>
          <w:rFonts w:ascii="Calibri" w:cs="Calibri" w:eastAsia="Calibri" w:hAnsi="Calibri"/>
          <w:b w:val="false"/>
          <w:bCs w:val="false"/>
          <w:color w:val="7B8FA6"/>
          <w:sz w:val="18"/>
          <w:szCs w:val="18"/>
        </w:rPr>
        <w:t xml:space="preserve">This report has been prepared for the exclusive use of the Board of Directors of Lemasy Limited. The information herein includes proprietary commercial data, client information, and strategic plans. Any reproduction or disclosure to any third party without prior written consent of the CEO is strictly prohibited.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1"/>
      </w:pBdr>
      <w:tabs>
        <w:tab w:val="right" w:pos="9026"/>
      </w:tabs>
      <w:spacing w:before="80"/>
    </w:pPr>
    <w:r>
      <w:rPr>
        <w:rFonts w:ascii="Calibri" w:cs="Calibri" w:eastAsia="Calibri" w:hAnsi="Calibri"/>
        <w:color w:val="7B8FA6"/>
        <w:sz w:val="16"/>
        <w:szCs w:val="16"/>
      </w:rPr>
      <w:t xml:space="preserve">STRICTLY CONFIDENTIAL  |  For Board Use Only</w:t>
    </w:r>
    <w:r>
      <w:rPr>
        <w:rFonts w:ascii="Calibri" w:cs="Calibri" w:eastAsia="Calibri" w:hAnsi="Calibri"/>
        <w:sz w:val="16"/>
        <w:szCs w:val="16"/>
      </w:rPr>
      <w:t xml:space="preserve">	</w:t>
    </w:r>
    <w:r>
      <w:rPr>
        <w:rFonts w:ascii="Calibri" w:cs="Calibri" w:eastAsia="Calibri" w:hAnsi="Calibri"/>
        <w:color w:val="7B8FA6"/>
        <w:sz w:val="16"/>
        <w:szCs w:val="16"/>
      </w:rPr>
      <w:t xml:space="preserve">Page </w:t>
    </w:r>
    <w:r>
      <w:rPr>
        <w:rFonts w:ascii="Calibri" w:cs="Calibri" w:eastAsia="Calibri" w:hAnsi="Calibri"/>
        <w:color w:val="7B8F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1"/>
      </w:pBdr>
      <w:tabs>
        <w:tab w:val="right" w:pos="9026"/>
      </w:tabs>
      <w:spacing w:after="80"/>
    </w:pPr>
    <w:r>
      <w:rPr>
        <w:rFonts w:ascii="Calibri" w:cs="Calibri" w:eastAsia="Calibri" w:hAnsi="Calibri"/>
        <w:color w:val="7B8FA6"/>
        <w:sz w:val="17"/>
        <w:szCs w:val="17"/>
      </w:rPr>
      <w:t xml:space="preserve">Lemasy — Board Meeting Minutes</w:t>
    </w:r>
    <w:r>
      <w:rPr>
        <w:rFonts w:ascii="Calibri" w:cs="Calibri" w:eastAsia="Calibri" w:hAnsi="Calibri"/>
        <w:sz w:val="17"/>
        <w:szCs w:val="17"/>
      </w:rPr>
      <w:t xml:space="preserve">	</w:t>
    </w:r>
    <w:r>
      <w:rPr>
        <w:rFonts w:ascii="Calibri" w:cs="Calibri" w:eastAsia="Calibri" w:hAnsi="Calibri"/>
        <w:color w:val="7B8FA6"/>
        <w:sz w:val="17"/>
        <w:szCs w:val="17"/>
      </w:rPr>
      <w:t xml:space="preserve">Q1 2025  |  January – March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0D1B2A"/>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1E3A5F"/>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2026-05-01T13:08:43.235Z</dcterms:created>
  <dcterms:modified xsi:type="dcterms:W3CDTF">2026-05-01T13:08:43.237Z</dcterms:modified>
</cp:coreProperties>
</file>

<file path=docProps/custom.xml><?xml version="1.0" encoding="utf-8"?>
<Properties xmlns="http://schemas.openxmlformats.org/officeDocument/2006/custom-properties" xmlns:vt="http://schemas.openxmlformats.org/officeDocument/2006/docPropsVTypes"/>
</file>