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Calibri" w:hAnsi="Calibri"/>
          <w:b/>
          <w:color w:val="F7F3EA"/>
          <w:sz w:val="16"/>
          <w:shd w:val="clear" w:color="auto" w:fill="0A1F44"/>
        </w:rPr>
        <w:t xml:space="preserve">  CLASSIFICATION  ·  INTERNAL  </w:t>
      </w:r>
    </w:p>
    <w:p>
      <w:pPr>
        <w:spacing w:before="1200" w:after="160"/>
      </w:pPr>
      <w:r>
        <w:rPr>
          <w:rFonts w:ascii="Georgia" w:hAnsi="Georgia"/>
          <w:b/>
          <w:color w:val="0A1F44"/>
          <w:sz w:val="56"/>
        </w:rPr>
        <w:t>Q1 2025 Product &amp; Market Position</w:t>
      </w:r>
    </w:p>
    <w:p>
      <w:pPr>
        <w:spacing w:after="80"/>
      </w:pPr>
      <w:r>
        <w:rPr>
          <w:rFonts w:ascii="Georgia" w:hAnsi="Georgia"/>
          <w:i/>
          <w:color w:val="4B5563"/>
          <w:sz w:val="28"/>
        </w:rPr>
        <w:t>Regulatory alignment, operational delivery, and roadmap execution in African financial services AI</w:t>
      </w:r>
    </w:p>
    <w:p>
      <w:pPr>
        <w:spacing w:before="240"/>
      </w:pPr>
      <w:r>
        <w:rPr>
          <w:rFonts w:ascii="Calibri" w:hAnsi="Calibri"/>
          <w:color w:val="4B5563"/>
          <w:sz w:val="20"/>
        </w:rPr>
        <w:t>Prepared for Test Brief  ·  Q1 2025  ·  09 May 2026 · 17:00 UTC</w:t>
      </w:r>
    </w:p>
    <w:p>
      <w:r>
        <w:br w:type="page"/>
      </w:r>
    </w:p>
    <w:p>
      <w:pPr>
        <w:spacing w:before="400" w:after="120"/>
      </w:pPr>
      <w:r>
        <w:rPr>
          <w:rFonts w:ascii="Calibri" w:hAnsi="Calibri"/>
          <w:b/>
          <w:color w:val="0A1F44"/>
          <w:sz w:val="40"/>
        </w:rPr>
        <w:t>Executive summary</w:t>
      </w:r>
    </w:p>
    <w:p>
      <w:pPr>
        <w:spacing w:after="120"/>
      </w:pPr>
      <w:r>
        <w:rPr>
          <w:rFonts w:ascii="Georgia" w:hAnsi="Georgia"/>
          <w:i w:val="0"/>
          <w:color w:val="111827"/>
          <w:sz w:val="22"/>
        </w:rPr>
        <w:t>Two African regulators published explainability guidance for AI in credit decisioning during Q1, creating a compliance wedge that influenced at least one procurement outcome. The company's explainability dashboards were cited as differentiating in a banking customer win, while operational metrics exceeded contractual commitments: 99.81% uptime against a 99.5% SLA and 41% latency reduction to 1,080ms average inference time. A multimodal document processing release is scheduled for Q2 to address unstructured identity and financial document analysis. The regulatory developments in two separate jurisdictions suggest explainability is becoming table stakes, not optional functionality. Whether these guidance notes carry enforcement weight or remain aspirational will determine their pipeline impact.</w:t>
      </w:r>
    </w:p>
    <w:p/>
    <w:p>
      <w:pPr>
        <w:spacing w:before="280" w:after="120"/>
      </w:pPr>
      <w:r>
        <w:rPr>
          <w:rFonts w:ascii="Calibri" w:hAnsi="Calibri"/>
          <w:b/>
          <w:color w:val="0A1F44"/>
          <w:sz w:val="28"/>
        </w:rPr>
        <w:t>Regulatory Developments Create Compliance Tailwind</w:t>
      </w:r>
    </w:p>
    <w:p>
      <w:pPr>
        <w:spacing w:after="120"/>
      </w:pPr>
      <w:r>
        <w:rPr>
          <w:rFonts w:ascii="Georgia" w:hAnsi="Georgia"/>
          <w:i w:val="0"/>
          <w:color w:val="111827"/>
          <w:sz w:val="22"/>
        </w:rPr>
        <w:t>Two African financial regulators issued guidance on AI explainability in Q1. The Central Bank published a note requiring banks to ensure AI credit models are explainable, auditable, and fair. A separate financial services regulator released a discussion paper on responsible AI in insurance. Both developments position explainability as a compliance requirement, not a discretionary feature.</w:t>
      </w:r>
    </w:p>
    <w:p>
      <w:pPr>
        <w:spacing w:after="120"/>
      </w:pPr>
      <w:r>
        <w:rPr>
          <w:rFonts w:ascii="Georgia" w:hAnsi="Georgia"/>
          <w:i w:val="0"/>
          <w:color w:val="111827"/>
          <w:sz w:val="22"/>
        </w:rPr>
        <w:t>The timing aligns with a procurement win where explainability dashboards were cited as a differentiating factor. The dashboards provide human-readable explanations of model outputs, addressing the audit and fairness criteria outlined in the regulatory guidance. Whether these publications create enforceable obligations or remain aspirational best practice will determine their influence on buying urgency. [1], [2]</w:t>
      </w:r>
    </w:p>
    <w:p>
      <w:pPr>
        <w:spacing w:before="280" w:after="120"/>
      </w:pPr>
      <w:r>
        <w:rPr>
          <w:rFonts w:ascii="Calibri" w:hAnsi="Calibri"/>
          <w:b/>
          <w:color w:val="0A1F44"/>
          <w:sz w:val="28"/>
        </w:rPr>
        <w:t>Operational Metrics Exceed Contractual Commitments</w:t>
      </w:r>
    </w:p>
    <w:p>
      <w:pPr>
        <w:spacing w:after="120"/>
      </w:pPr>
      <w:r>
        <w:rPr>
          <w:rFonts w:ascii="Georgia" w:hAnsi="Georgia"/>
          <w:i w:val="0"/>
          <w:color w:val="111827"/>
          <w:sz w:val="22"/>
        </w:rPr>
        <w:t>Platform uptime reached 99.81% in Q1 against a contractual SLA of 99.5%. Model inference latency dropped from 1,840ms to 1,080ms average, a 41% reduction. The latency improvement targets real-time customer verification workflows, though whether 1,080ms meets user experience thresholds for "real-time" depends on the specific use case and competitive benchmarks.</w:t>
      </w:r>
    </w:p>
    <w:p>
      <w:pPr>
        <w:spacing w:after="120"/>
      </w:pPr>
      <w:r>
        <w:rPr>
          <w:rFonts w:ascii="Georgia" w:hAnsi="Georgia"/>
          <w:i w:val="0"/>
          <w:color w:val="111827"/>
          <w:sz w:val="22"/>
        </w:rPr>
        <w:t>These metrics indicate operational discipline is now baseline capability. The question shifts from "can the system run reliably" to "does reliability translate to differentiation in buyer decision criteria." [2]</w:t>
      </w:r>
    </w:p>
    <w:p>
      <w:pPr>
        <w:spacing w:before="280" w:after="120"/>
      </w:pPr>
      <w:r>
        <w:rPr>
          <w:rFonts w:ascii="Calibri" w:hAnsi="Calibri"/>
          <w:b/>
          <w:color w:val="0A1F44"/>
          <w:sz w:val="28"/>
        </w:rPr>
        <w:t>Multimodal Roadmap Addresses Document Processing Gap</w:t>
      </w:r>
    </w:p>
    <w:p>
      <w:pPr>
        <w:spacing w:after="120"/>
      </w:pPr>
      <w:r>
        <w:rPr>
          <w:rFonts w:ascii="Georgia" w:hAnsi="Georgia"/>
          <w:i w:val="0"/>
          <w:color w:val="111827"/>
          <w:sz w:val="22"/>
        </w:rPr>
        <w:t>A Q2 release will introduce multimodal document processing for unstructured financial and identity documents, including scanned IDs and bank statements. This extends the platform beyond structured data analysis to handle the document formats common in manual underwriting and identity verification workflows.</w:t>
      </w:r>
    </w:p>
    <w:p>
      <w:pPr>
        <w:spacing w:after="120"/>
      </w:pPr>
      <w:r>
        <w:rPr>
          <w:rFonts w:ascii="Georgia" w:hAnsi="Georgia"/>
          <w:i w:val="0"/>
          <w:color w:val="111827"/>
          <w:sz w:val="22"/>
        </w:rPr>
        <w:t>The feature addresses a stated gap, though the grounding evidence is incomplete. Document OCR and analysis are not novel capabilities in fintech infrastructure. Differentiation will depend on accuracy with degraded scan quality, support for region-specific document formats, and integration with existing credit decision workflows. [2]</w:t>
      </w:r>
    </w:p>
    <w:p>
      <w:r>
        <w:br w:type="page"/>
      </w:r>
    </w:p>
    <w:p>
      <w:pPr>
        <w:spacing w:before="400" w:after="120"/>
      </w:pPr>
      <w:r>
        <w:rPr>
          <w:rFonts w:ascii="Calibri" w:hAnsi="Calibri"/>
          <w:b/>
          <w:color w:val="0A1F44"/>
          <w:sz w:val="40"/>
        </w:rPr>
        <w:t>Sources</w:t>
      </w:r>
    </w:p>
    <w:p>
      <w:pPr>
        <w:spacing w:after="60"/>
      </w:pPr>
      <w:r>
        <w:rPr>
          <w:rFonts w:ascii="Calibri" w:hAnsi="Calibri"/>
          <w:b/>
          <w:color w:val="8B2E2B"/>
          <w:sz w:val="20"/>
        </w:rPr>
        <w:t xml:space="preserve">[1]  </w:t>
      </w:r>
      <w:r>
        <w:rPr>
          <w:rFonts w:ascii="Georgia" w:hAnsi="Georgia"/>
          <w:color w:val="111827"/>
          <w:sz w:val="20"/>
        </w:rPr>
        <w:t>lemasy_customer_report_q1_2025</w:t>
      </w:r>
    </w:p>
    <w:p>
      <w:pPr>
        <w:spacing w:after="60"/>
      </w:pPr>
      <w:r>
        <w:rPr>
          <w:rFonts w:ascii="Calibri" w:hAnsi="Calibri"/>
          <w:b/>
          <w:color w:val="8B2E2B"/>
          <w:sz w:val="20"/>
        </w:rPr>
        <w:t xml:space="preserve">[2]  </w:t>
      </w:r>
      <w:r>
        <w:rPr>
          <w:rFonts w:ascii="Georgia" w:hAnsi="Georgia"/>
          <w:color w:val="111827"/>
          <w:sz w:val="20"/>
        </w:rPr>
        <w:t>lemasy_ceo_report_q1_2025</w:t>
      </w:r>
    </w:p>
    <w:sectPr w:rsidR="00FC693F" w:rsidRPr="0006063C" w:rsidSect="00034616">
      <w:footerReference w:type="default" r:id="rId9"/>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B5563"/>
        <w:sz w:val="16"/>
      </w:rPr>
      <w:t xml:space="preserve">  AKKI  ·  Test Brief  ·  Internal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11827"/>
      <w:sz w:val="22"/>
      <w:rFonts w:ascii="Georgia" w:hAnsi="Georgia" w:eastAsia="Georgi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