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Regression Verification</w:t>
      </w:r>
    </w:p>
    <w:p>
      <w:r>
        <w:rPr>
          <w:rFonts w:ascii="Georgia" w:hAnsi="Georgia"/>
          <w:i/>
          <w:color w:val="4B5563"/>
          <w:sz w:val="30"/>
        </w:rPr>
        <w:t>Quality assurance validation exercise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QA Chunk 7 Regression Testing  ·  N/A  ·  25 May 2026 · 16:44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serves as a validation fixture for the Committee Pack enhancement capability. The source document contains minimal substantive content—a header statement identifying its purpose as a regression test. No audit findings, control assessments, or governance matters require committee review. The test confirms the enhancement mechanism can process committee pack artefacts without content degradation or structural failure.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Test Artefact Scope</w:t>
      </w:r>
    </w:p>
    <w:p>
      <w:r>
        <w:rPr>
          <w:rFonts w:ascii="Calibri" w:hAnsi="Calibri"/>
          <w:color w:val="111827"/>
          <w:sz w:val="22"/>
        </w:rPr>
        <w:t>02.  Enhancement Capability Verification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Test Artefact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validation context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functions as a regression test case for the Committee Pack enhancement feature, now recognized as a first-class artefact type within the processing pipeline.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material contains only metadata and a purpose statement, with no substantive audit content, findings, or recommendations requiring committee consideration.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Capability Verification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Processing integrity check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test confirms the system can ingest committee pack artefacts, apply enhancement instructions, and produce structured output conforming to the required JSON schema.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tightening of substantive audit language was possible given the minimal source content. The test validates handling of edge cases where source material lacks typical committee pack components.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QA Chunk 7 Regression Testing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