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Source verification document</w:t>
      </w:r>
    </w:p>
    <w:p>
      <w:pPr>
        <w:spacing w:before="400"/>
      </w:pPr>
      <w:r>
        <w:rPr>
          <w:rFonts w:ascii="Calibri" w:hAnsi="Calibri"/>
          <w:color w:val="4B5563"/>
          <w:sz w:val="20"/>
        </w:rPr>
        <w:t>Prepared for QA Chunk 7 Regression Testing  ·  N/A  ·  25 May 2026 · 16:52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pack was submitted for enhancement with instructions to tighten wording for the audit committee. However, the source artifact contains only metadata describing its purpose as a verification document for Committee Pack as a first-class enhancement kind. No audit committee content, financial data, risk assessments, compliance updates, or governance matters are present to refine. The document consists of two sentences totaling 57 words that are self-referential rather than committee-facing material. Without substantive source content, no editorial tightening, structural compression, or compliance enhancement can be performed.</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Enhancement Feasibility</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availability review</w:t>
      </w:r>
    </w:p>
    <w:p>
      <w:pPr>
        <w:spacing w:after="120"/>
      </w:pPr>
      <w:r>
        <w:rPr>
          <w:rFonts w:ascii="Georgia" w:hAnsi="Georgia"/>
          <w:i w:val="0"/>
          <w:color w:val="111827"/>
          <w:sz w:val="22"/>
        </w:rPr>
        <w:t>The submitted artifact identifies itself as a QA regression test document intended to verify that Committee Pack functions as a first-class enhancement category within the deliverable production system.</w:t>
      </w:r>
    </w:p>
    <w:p>
      <w:pPr>
        <w:spacing w:after="120"/>
      </w:pPr>
      <w:r>
        <w:rPr>
          <w:rFonts w:ascii="Georgia" w:hAnsi="Georgia"/>
          <w:i w:val="0"/>
          <w:color w:val="111827"/>
          <w:sz w:val="22"/>
        </w:rPr>
        <w:t>The artifact contains no audit committee content requiring enhancement. No financial reporting, internal control assessments, risk registers, compliance matters, regulatory updates, or governance recommendations are present.</w:t>
      </w:r>
    </w:p>
    <w:p>
      <w:pPr>
        <w:spacing w:after="120"/>
      </w:pPr>
      <w:r>
        <w:rPr>
          <w:rFonts w:ascii="Georgia" w:hAnsi="Georgia"/>
          <w:i w:val="0"/>
          <w:color w:val="111827"/>
          <w:sz w:val="22"/>
        </w:rPr>
        <w:t>The two existing sentences are already concise, containing no passive voice, redundancy, hedging language, or structural inefficiency that would benefit from tightening. [1]</w:t>
      </w:r>
    </w:p>
    <w:p/>
    <w:p>
      <w:pPr>
        <w:spacing w:before="400" w:after="120"/>
      </w:pPr>
      <w:r>
        <w:rPr>
          <w:rFonts w:ascii="Calibri" w:hAnsi="Calibri"/>
          <w:b/>
          <w:color w:val="0A1F44"/>
          <w:sz w:val="40"/>
        </w:rPr>
        <w:t>Enhancement Feasibility</w:t>
      </w:r>
    </w:p>
    <w:p>
      <w:pPr>
        <w:spacing w:after="120"/>
      </w:pPr>
      <w:r>
        <w:rPr>
          <w:rFonts w:ascii="Georgia" w:hAnsi="Georgia"/>
          <w:i/>
          <w:color w:val="4B5563"/>
          <w:sz w:val="22"/>
        </w:rPr>
        <w:t>Scope limitation analysis</w:t>
      </w:r>
    </w:p>
    <w:p>
      <w:pPr>
        <w:spacing w:after="120"/>
      </w:pPr>
      <w:r>
        <w:rPr>
          <w:rFonts w:ascii="Georgia" w:hAnsi="Georgia"/>
          <w:i w:val="0"/>
          <w:color w:val="111827"/>
          <w:sz w:val="22"/>
        </w:rPr>
        <w:t>Editorial refinement requires source prose to refine. Structural compression requires multiple sections to consolidate. Compliance enhancement requires substantive committee materials to clarify.</w:t>
      </w:r>
    </w:p>
    <w:p>
      <w:pPr>
        <w:spacing w:after="120"/>
      </w:pPr>
      <w:r>
        <w:rPr>
          <w:rFonts w:ascii="Georgia" w:hAnsi="Georgia"/>
          <w:i w:val="0"/>
          <w:color w:val="111827"/>
          <w:sz w:val="22"/>
        </w:rPr>
        <w:t>The artifact provides none of these substrates. It functions as document metadata rather than committee-facing content.</w:t>
      </w:r>
    </w:p>
    <w:p>
      <w:pPr>
        <w:spacing w:after="120"/>
      </w:pPr>
      <w:r>
        <w:rPr>
          <w:rFonts w:ascii="Georgia" w:hAnsi="Georgia"/>
          <w:i w:val="0"/>
          <w:color w:val="111827"/>
          <w:sz w:val="22"/>
        </w:rPr>
        <w:t>Producing fictional audit content to demonstrate enhancement capability would violate the constraint to preserve factual claims and work only from grounded material.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Testing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