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rFonts w:ascii="Calibri" w:hAnsi="Calibri"/>
          <w:b/>
          <w:color w:val="F7F3EA"/>
          <w:sz w:val="16"/>
          <w:shd w:val="clear" w:color="auto" w:fill="0A1F44"/>
        </w:rPr>
        <w:t xml:space="preserve">  CLASSIFICATION  ·  INTERNAL  </w:t>
      </w:r>
    </w:p>
    <w:p>
      <w:pPr>
        <w:spacing w:before="1600"/>
      </w:pPr>
      <w:r>
        <w:rPr>
          <w:rFonts w:ascii="Georgia" w:hAnsi="Georgia"/>
          <w:b/>
          <w:color w:val="0A1F44"/>
          <w:sz w:val="64"/>
        </w:rPr>
        <w:t>Audit Committee Pack — QA Validation</w:t>
      </w:r>
    </w:p>
    <w:p>
      <w:r>
        <w:rPr>
          <w:rFonts w:ascii="Georgia" w:hAnsi="Georgia"/>
          <w:i/>
          <w:color w:val="4B5563"/>
          <w:sz w:val="30"/>
        </w:rPr>
        <w:t>System verification exercise</w:t>
      </w:r>
    </w:p>
    <w:p>
      <w:pPr>
        <w:spacing w:before="400"/>
      </w:pPr>
      <w:r>
        <w:rPr>
          <w:rFonts w:ascii="Calibri" w:hAnsi="Calibri"/>
          <w:color w:val="4B5563"/>
          <w:sz w:val="20"/>
        </w:rPr>
        <w:t>Prepared for Quality Assurance  ·  2024  ·  26 May 2026 · 01:32 UTC</w:t>
      </w:r>
    </w:p>
    <w:p>
      <w:r>
        <w:br w:type="page"/>
      </w:r>
    </w:p>
    <w:p>
      <w:pPr>
        <w:spacing w:before="400" w:after="120"/>
      </w:pPr>
      <w:r>
        <w:rPr>
          <w:rFonts w:ascii="Calibri" w:hAnsi="Calibri"/>
          <w:b/>
          <w:color w:val="0A1F44"/>
          <w:sz w:val="40"/>
        </w:rPr>
        <w:t>Executive summary</w:t>
      </w:r>
    </w:p>
    <w:p>
      <w:pPr>
        <w:spacing w:after="120"/>
      </w:pPr>
      <w:r>
        <w:rPr>
          <w:rFonts w:ascii="Georgia" w:hAnsi="Georgia"/>
          <w:i w:val="0"/>
          <w:color w:val="111827"/>
          <w:sz w:val="22"/>
        </w:rPr>
        <w:t>This document serves as a regression test artefact validating that committee_pack has been successfully promoted to first-class status within the enhancement workflow. The minimal source content (metadata only, no substantive body text) prevents meaningful application of the instruction to 'tighten the wording.' Production use requires full committee pack content including financial summaries, risk assessments, and governance matters for which compression and precision techniques can be applied.</w:t>
      </w:r>
    </w:p>
    <w:p>
      <w:r>
        <w:br w:type="page"/>
      </w:r>
    </w:p>
    <w:p>
      <w:pPr>
        <w:spacing w:before="400" w:after="120"/>
      </w:pPr>
      <w:r>
        <w:rPr>
          <w:rFonts w:ascii="Calibri" w:hAnsi="Calibri"/>
          <w:b/>
          <w:color w:val="0A1F44"/>
          <w:sz w:val="40"/>
        </w:rPr>
        <w:t>Index</w:t>
      </w:r>
    </w:p>
    <w:p>
      <w:r>
        <w:rPr>
          <w:rFonts w:ascii="Calibri" w:hAnsi="Calibri"/>
          <w:color w:val="111827"/>
          <w:sz w:val="22"/>
        </w:rPr>
        <w:t>01.  Source Material Assessment</w:t>
      </w:r>
    </w:p>
    <w:p>
      <w:r>
        <w:rPr>
          <w:rFonts w:ascii="Calibri" w:hAnsi="Calibri"/>
          <w:color w:val="111827"/>
          <w:sz w:val="22"/>
        </w:rPr>
        <w:t>02.  Validation Objective</w:t>
      </w:r>
    </w:p>
    <w:p>
      <w:r>
        <w:rPr>
          <w:rFonts w:ascii="Calibri" w:hAnsi="Calibri"/>
          <w:color w:val="111827"/>
          <w:sz w:val="22"/>
        </w:rPr>
        <w:t>03.  Production Requirements</w:t>
      </w:r>
    </w:p>
    <w:p>
      <w:r>
        <w:rPr>
          <w:rFonts w:ascii="Calibri" w:hAnsi="Calibri"/>
          <w:color w:val="111827"/>
          <w:sz w:val="22"/>
        </w:rPr>
        <w:t>04.  Standard Compression Techniques</w:t>
      </w:r>
    </w:p>
    <w:p>
      <w:r>
        <w:br w:type="page"/>
      </w:r>
    </w:p>
    <w:p>
      <w:pPr>
        <w:spacing w:before="400" w:after="120"/>
      </w:pPr>
      <w:r>
        <w:rPr>
          <w:rFonts w:ascii="Calibri" w:hAnsi="Calibri"/>
          <w:b/>
          <w:color w:val="0A1F44"/>
          <w:sz w:val="40"/>
        </w:rPr>
        <w:t>Source Material Assessment</w:t>
      </w:r>
    </w:p>
    <w:p>
      <w:pPr>
        <w:spacing w:after="120"/>
      </w:pPr>
      <w:r>
        <w:rPr>
          <w:rFonts w:ascii="Georgia" w:hAnsi="Georgia"/>
          <w:i/>
          <w:color w:val="4B5563"/>
          <w:sz w:val="22"/>
        </w:rPr>
        <w:t>Content sufficiency review</w:t>
      </w:r>
    </w:p>
    <w:p>
      <w:pPr>
        <w:spacing w:after="120"/>
      </w:pPr>
      <w:r>
        <w:rPr>
          <w:rFonts w:ascii="Georgia" w:hAnsi="Georgia"/>
          <w:i w:val="0"/>
          <w:color w:val="111827"/>
          <w:sz w:val="22"/>
        </w:rPr>
        <w:t>The provided source artefact contains only metadata and a self-referential description totaling approximately 200 characters. No committee proceedings, financial data, risk registers, or governance matters are present.</w:t>
      </w:r>
    </w:p>
    <w:p>
      <w:pPr>
        <w:spacing w:after="120"/>
      </w:pPr>
      <w:r>
        <w:rPr>
          <w:rFonts w:ascii="Georgia" w:hAnsi="Georgia"/>
          <w:i w:val="0"/>
          <w:color w:val="111827"/>
          <w:sz w:val="22"/>
        </w:rPr>
        <w:t>Standard audit committee packs comprise executive summaries, detailed risk assessments, financial control updates, compliance status reports, and forward-looking action items. None of these components appear in the source material.</w:t>
      </w:r>
    </w:p>
    <w:p>
      <w:pPr>
        <w:spacing w:after="120"/>
      </w:pPr>
      <w:r>
        <w:rPr>
          <w:rFonts w:ascii="Georgia" w:hAnsi="Georgia"/>
          <w:i w:val="0"/>
          <w:color w:val="111827"/>
          <w:sz w:val="22"/>
        </w:rPr>
        <w:t>The instruction to 'tighten the wording' cannot be executed against metadata alone. Compression techniques require substantive prose: elimination of hedge language, removal of nominalizations, front-loading of conclusions, and excision of redundant qualifiers. [1]</w:t>
      </w:r>
    </w:p>
    <w:p/>
    <w:p>
      <w:pPr>
        <w:spacing w:before="400" w:after="120"/>
      </w:pPr>
      <w:r>
        <w:rPr>
          <w:rFonts w:ascii="Calibri" w:hAnsi="Calibri"/>
          <w:b/>
          <w:color w:val="0A1F44"/>
          <w:sz w:val="40"/>
        </w:rPr>
        <w:t>Validation Objective</w:t>
      </w:r>
    </w:p>
    <w:p>
      <w:pPr>
        <w:spacing w:after="120"/>
      </w:pPr>
      <w:r>
        <w:rPr>
          <w:rFonts w:ascii="Georgia" w:hAnsi="Georgia"/>
          <w:i/>
          <w:color w:val="4B5563"/>
          <w:sz w:val="22"/>
        </w:rPr>
        <w:t>First-class kind promotion test</w:t>
      </w:r>
    </w:p>
    <w:p>
      <w:pPr>
        <w:spacing w:after="120"/>
      </w:pPr>
      <w:r>
        <w:rPr>
          <w:rFonts w:ascii="Georgia" w:hAnsi="Georgia"/>
          <w:i w:val="0"/>
          <w:color w:val="111827"/>
          <w:sz w:val="22"/>
        </w:rPr>
        <w:t>The document explicitly identifies itself as 'QA Chunk 7 regression' material, created to verify that committee_pack now functions as a first-class enhancement kind within the system architecture.</w:t>
      </w:r>
    </w:p>
    <w:p>
      <w:pPr>
        <w:spacing w:after="120"/>
      </w:pPr>
      <w:r>
        <w:rPr>
          <w:rFonts w:ascii="Georgia" w:hAnsi="Georgia"/>
          <w:i w:val="0"/>
          <w:color w:val="111827"/>
          <w:sz w:val="22"/>
        </w:rPr>
        <w:t>Prior to this designation, committee packs may have been handled through alternate workflows or excluded from enhancement processing. This test confirms correct routing, classification handling, and reasoning rail engagement.</w:t>
      </w:r>
    </w:p>
    <w:p>
      <w:pPr>
        <w:spacing w:after="120"/>
      </w:pPr>
      <w:r>
        <w:rPr>
          <w:rFonts w:ascii="Georgia" w:hAnsi="Georgia"/>
          <w:i w:val="0"/>
          <w:color w:val="111827"/>
          <w:sz w:val="22"/>
        </w:rPr>
        <w:t>Success criteria center on system behavior rather than output quality: the enhancement pipeline must accept the committee_pack kind, apply the reasoning rail architecture, and produce structured output without errors. [1]</w:t>
      </w:r>
    </w:p>
    <w:p/>
    <w:p>
      <w:pPr>
        <w:spacing w:before="400" w:after="120"/>
      </w:pPr>
      <w:r>
        <w:rPr>
          <w:rFonts w:ascii="Calibri" w:hAnsi="Calibri"/>
          <w:b/>
          <w:color w:val="0A1F44"/>
          <w:sz w:val="40"/>
        </w:rPr>
        <w:t>Production Requirements</w:t>
      </w:r>
    </w:p>
    <w:p>
      <w:pPr>
        <w:spacing w:after="120"/>
      </w:pPr>
      <w:r>
        <w:rPr>
          <w:rFonts w:ascii="Georgia" w:hAnsi="Georgia"/>
          <w:i/>
          <w:color w:val="4B5563"/>
          <w:sz w:val="22"/>
        </w:rPr>
        <w:t>Specifications for operational use</w:t>
      </w:r>
    </w:p>
    <w:p>
      <w:pPr>
        <w:spacing w:after="120"/>
      </w:pPr>
      <w:r>
        <w:rPr>
          <w:rFonts w:ascii="Georgia" w:hAnsi="Georgia"/>
          <w:i w:val="0"/>
          <w:color w:val="111827"/>
          <w:sz w:val="22"/>
        </w:rPr>
        <w:t>Operational audit committee pack enhancement requires complete source material: meeting minutes, financial statements, control environment assessments, regulatory compliance updates, and risk matrix revisions.</w:t>
      </w:r>
    </w:p>
    <w:p>
      <w:pPr>
        <w:spacing w:after="120"/>
      </w:pPr>
      <w:r>
        <w:rPr>
          <w:rFonts w:ascii="Georgia" w:hAnsi="Georgia"/>
          <w:i w:val="0"/>
          <w:color w:val="111827"/>
          <w:sz w:val="22"/>
        </w:rPr>
        <w:t>Tightening instructions must specify the target pain point. Audit committees face distinct challenges: meeting overruns from verbose packs, auditor pushback on imprecise language, or committee member disengagement from overly technical prose. Each demands different compression strategies.</w:t>
      </w:r>
    </w:p>
    <w:p>
      <w:pPr>
        <w:spacing w:after="120"/>
      </w:pPr>
      <w:r>
        <w:rPr>
          <w:rFonts w:ascii="Georgia" w:hAnsi="Georgia"/>
          <w:i w:val="0"/>
          <w:color w:val="111827"/>
          <w:sz w:val="22"/>
        </w:rPr>
        <w:t>Word count targets, formality requirements, and citation preservation rules must be explicit. Audit committee packs serve regulatory and legal functions; compression cannot compromise traceability or defensibility of claims.</w:t>
      </w:r>
    </w:p>
    <w:p/>
    <w:p>
      <w:pPr>
        <w:spacing w:before="400" w:after="120"/>
      </w:pPr>
      <w:r>
        <w:rPr>
          <w:rFonts w:ascii="Calibri" w:hAnsi="Calibri"/>
          <w:b/>
          <w:color w:val="0A1F44"/>
          <w:sz w:val="40"/>
        </w:rPr>
        <w:t>Standard Compression Techniques</w:t>
      </w:r>
    </w:p>
    <w:p>
      <w:pPr>
        <w:spacing w:after="120"/>
      </w:pPr>
      <w:r>
        <w:rPr>
          <w:rFonts w:ascii="Georgia" w:hAnsi="Georgia"/>
          <w:i/>
          <w:color w:val="4B5563"/>
          <w:sz w:val="22"/>
        </w:rPr>
        <w:t>Audit committee context</w:t>
      </w:r>
    </w:p>
    <w:p>
      <w:pPr>
        <w:spacing w:after="120"/>
      </w:pPr>
      <w:r>
        <w:rPr>
          <w:rFonts w:ascii="Georgia" w:hAnsi="Georgia"/>
          <w:i w:val="0"/>
          <w:color w:val="111827"/>
          <w:sz w:val="22"/>
        </w:rPr>
        <w:t>Effective tightening for governance documents eliminates hedge language. Audit committees require definitive statements or explicit uncertainty quantification, not vague qualifiers like 'may indicate' or 'could potentially suggest.'</w:t>
      </w:r>
    </w:p>
    <w:p>
      <w:pPr>
        <w:spacing w:after="120"/>
      </w:pPr>
      <w:r>
        <w:rPr>
          <w:rFonts w:ascii="Georgia" w:hAnsi="Georgia"/>
          <w:i w:val="0"/>
          <w:color w:val="111827"/>
          <w:sz w:val="22"/>
        </w:rPr>
        <w:t>Nominalization removal improves clarity and assigns accountability. 'Implementation of the internal control framework' becomes 'Management implemented the internal control framework,' clarifying ownership and timing.</w:t>
      </w:r>
    </w:p>
    <w:p>
      <w:pPr>
        <w:spacing w:after="120"/>
      </w:pPr>
      <w:r>
        <w:rPr>
          <w:rFonts w:ascii="Georgia" w:hAnsi="Georgia"/>
          <w:i w:val="0"/>
          <w:color w:val="111827"/>
          <w:sz w:val="22"/>
        </w:rPr>
        <w:t>Front-loading conclusions respects committee time constraints. Risk assessments should open with the residual risk rating and management's recommendation, then provide supporting detail for members who require deeper context.</w:t>
      </w:r>
    </w:p>
    <w:p>
      <w:pPr>
        <w:spacing w:after="120"/>
      </w:pPr>
      <w:r>
        <w:rPr>
          <w:rFonts w:ascii="Georgia" w:hAnsi="Georgia"/>
          <w:i w:val="0"/>
          <w:color w:val="111827"/>
          <w:sz w:val="22"/>
        </w:rPr>
        <w:t>Throat-clearing phrases like 'It is important to note that' or 'As previously discussed' consume space without adding information. Audit committees are familiar with ongoing matters; context can be compressed to brief references.</w:t>
      </w:r>
    </w:p>
    <w:p/>
    <w:p>
      <w:r>
        <w:br w:type="page"/>
      </w:r>
    </w:p>
    <w:p>
      <w:pPr>
        <w:spacing w:before="400" w:after="120"/>
      </w:pPr>
      <w:r>
        <w:rPr>
          <w:rFonts w:ascii="Calibri" w:hAnsi="Calibri"/>
          <w:b/>
          <w:color w:val="0A1F44"/>
          <w:sz w:val="40"/>
        </w:rPr>
        <w:t>Recommendations</w:t>
      </w:r>
    </w:p>
    <w:p>
      <w:pPr>
        <w:spacing w:after="80"/>
      </w:pPr>
      <w:r>
        <w:rPr>
          <w:rFonts w:ascii="Calibri" w:hAnsi="Calibri"/>
          <w:b/>
          <w:color w:val="8B2E2B"/>
          <w:sz w:val="22"/>
        </w:rPr>
        <w:t xml:space="preserve">1.  </w:t>
      </w:r>
      <w:r>
        <w:rPr>
          <w:rFonts w:ascii="Georgia" w:hAnsi="Georgia"/>
          <w:color w:val="111827"/>
          <w:sz w:val="22"/>
        </w:rPr>
        <w:t>QA team — confirm committee_pack routing through enhancement pipeline completed without classification or processing errors</w:t>
      </w:r>
    </w:p>
    <w:p>
      <w:pPr>
        <w:spacing w:after="80"/>
      </w:pPr>
      <w:r>
        <w:rPr>
          <w:rFonts w:ascii="Calibri" w:hAnsi="Calibri"/>
          <w:b/>
          <w:color w:val="8B2E2B"/>
          <w:sz w:val="22"/>
        </w:rPr>
        <w:t xml:space="preserve">2.  </w:t>
      </w:r>
      <w:r>
        <w:rPr>
          <w:rFonts w:ascii="Georgia" w:hAnsi="Georgia"/>
          <w:color w:val="111827"/>
          <w:sz w:val="22"/>
        </w:rPr>
        <w:t>Product owner — document production requirements for committee_pack enhancement including minimum content thresholds and output specifications</w:t>
      </w:r>
    </w:p>
    <w:p>
      <w:pPr>
        <w:spacing w:after="80"/>
      </w:pPr>
      <w:r>
        <w:rPr>
          <w:rFonts w:ascii="Calibri" w:hAnsi="Calibri"/>
          <w:b/>
          <w:color w:val="8B2E2B"/>
          <w:sz w:val="22"/>
        </w:rPr>
        <w:t xml:space="preserve">3.  </w:t>
      </w:r>
      <w:r>
        <w:rPr>
          <w:rFonts w:ascii="Georgia" w:hAnsi="Georgia"/>
          <w:color w:val="111827"/>
          <w:sz w:val="22"/>
        </w:rPr>
        <w:t>Enhancement workflow — validate handling of insufficient source content scenarios with clear user feedback mechanisms</w:t>
      </w:r>
    </w:p>
    <w:p>
      <w:r>
        <w:br w:type="page"/>
      </w:r>
    </w:p>
    <w:p>
      <w:pPr>
        <w:spacing w:before="400" w:after="120"/>
      </w:pPr>
      <w:r>
        <w:rPr>
          <w:rFonts w:ascii="Calibri" w:hAnsi="Calibri"/>
          <w:b/>
          <w:color w:val="0A1F44"/>
          <w:sz w:val="40"/>
        </w:rPr>
        <w:t>Sources</w:t>
      </w:r>
    </w:p>
    <w:p>
      <w:pPr>
        <w:spacing w:after="60"/>
      </w:pPr>
      <w:r>
        <w:rPr>
          <w:rFonts w:ascii="Calibri" w:hAnsi="Calibri"/>
          <w:b/>
          <w:color w:val="8B2E2B"/>
          <w:sz w:val="20"/>
        </w:rPr>
        <w:t xml:space="preserve">[1]  </w:t>
      </w:r>
      <w:r>
        <w:rPr>
          <w:rFonts w:ascii="Georgia" w:hAnsi="Georgia"/>
          <w:color w:val="111827"/>
          <w:sz w:val="20"/>
        </w:rPr>
        <w:t>source.docx</w:t>
      </w:r>
    </w:p>
    <w:sectPr w:rsidR="00FC693F" w:rsidRPr="0006063C" w:rsidSect="00034616">
      <w:footerReference w:type="default" r:id="rId9"/>
      <w:pgSz w:w="12240" w:h="15840"/>
      <w:pgMar w:top="1440" w:right="1584"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4B5563"/>
        <w:sz w:val="16"/>
      </w:rPr>
      <w:t xml:space="preserve">  AKKI  ·  Quality Assurance  ·  Internal  </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color w:val="111827"/>
      <w:sz w:val="22"/>
      <w:rFonts w:ascii="Georgia" w:hAnsi="Georgia" w:eastAsia="Georgia"/>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