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Validation</w:t>
      </w:r>
    </w:p>
    <w:p>
      <w:r>
        <w:rPr>
          <w:rFonts w:ascii="Georgia" w:hAnsi="Georgia"/>
          <w:i/>
          <w:color w:val="4B5563"/>
          <w:sz w:val="30"/>
        </w:rPr>
        <w:t>Infrastructure verification exercise</w:t>
      </w:r>
    </w:p>
    <w:p>
      <w:pPr>
        <w:spacing w:before="400"/>
      </w:pPr>
      <w:r>
        <w:rPr>
          <w:rFonts w:ascii="Calibri" w:hAnsi="Calibri"/>
          <w:color w:val="4B5563"/>
          <w:sz w:val="20"/>
        </w:rPr>
        <w:t>Prepared for System Testing &amp; Validation  ·  Q4 2024  ·  21 May 2026 · 19:10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artifact serves as a regression test for the committee pack enhancement workflow. The source document contains only metadata and no substantive audit committee content requiring tightening or editorial refinement. A production audit committee pack would typically include sections on control environment assessments, risk matrices, management responses to prior findings, and emerging threats — none of which are present in this test case. The system has correctly identified the artifact type and applied the enhancement framework, but the absence of content prevents execution of the requested editorial instruction.</w:t>
      </w:r>
    </w:p>
    <w:p>
      <w:r>
        <w:br w:type="page"/>
      </w:r>
    </w:p>
    <w:p>
      <w:pPr>
        <w:spacing w:before="400" w:after="120"/>
      </w:pPr>
      <w:r>
        <w:rPr>
          <w:rFonts w:ascii="Calibri" w:hAnsi="Calibri"/>
          <w:b/>
          <w:color w:val="0A1F44"/>
          <w:sz w:val="40"/>
        </w:rPr>
        <w:t>Index</w:t>
      </w:r>
    </w:p>
    <w:p>
      <w:r>
        <w:rPr>
          <w:rFonts w:ascii="Calibri" w:hAnsi="Calibri"/>
          <w:color w:val="111827"/>
          <w:sz w:val="22"/>
        </w:rPr>
        <w:t>01.  Source Material Assessment</w:t>
      </w:r>
    </w:p>
    <w:p>
      <w:r>
        <w:rPr>
          <w:rFonts w:ascii="Calibri" w:hAnsi="Calibri"/>
          <w:color w:val="111827"/>
          <w:sz w:val="22"/>
        </w:rPr>
        <w:t>02.  Enhancement Framework Validation</w:t>
      </w:r>
    </w:p>
    <w:p>
      <w:r>
        <w:br w:type="page"/>
      </w:r>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Content availability review</w:t>
      </w:r>
    </w:p>
    <w:p>
      <w:pPr>
        <w:spacing w:after="120"/>
      </w:pPr>
      <w:r>
        <w:rPr>
          <w:rFonts w:ascii="Georgia" w:hAnsi="Georgia"/>
          <w:i w:val="0"/>
          <w:color w:val="111827"/>
          <w:sz w:val="22"/>
        </w:rPr>
        <w:t>The source artifact contains two lines of metadata identifying it as a QA regression test for committee pack functionality. No audit committee-facing content exists in the provided material.</w:t>
      </w:r>
    </w:p>
    <w:p>
      <w:pPr>
        <w:spacing w:after="120"/>
      </w:pPr>
      <w:r>
        <w:rPr>
          <w:rFonts w:ascii="Georgia" w:hAnsi="Georgia"/>
          <w:i w:val="0"/>
          <w:color w:val="111827"/>
          <w:sz w:val="22"/>
        </w:rPr>
        <w:t>A typical audit committee pack includes executive summaries, detailed findings from internal or external audits, management's responses and remediation timelines, updates on previously identified control deficiencies, and forward-looking risk assessments. None of these elements are present.</w:t>
      </w:r>
    </w:p>
    <w:p>
      <w:pPr>
        <w:spacing w:after="120"/>
      </w:pPr>
      <w:r>
        <w:rPr>
          <w:rFonts w:ascii="Georgia" w:hAnsi="Georgia"/>
          <w:i w:val="0"/>
          <w:color w:val="111827"/>
          <w:sz w:val="22"/>
        </w:rPr>
        <w:t>The instruction to 'tighten the wording for the audit committee' cannot be executed without substantive prose to refine. The current artifact serves solely as a structural validation test. [1]</w:t>
      </w:r>
    </w:p>
    <w:p/>
    <w:p>
      <w:pPr>
        <w:spacing w:before="400" w:after="120"/>
      </w:pPr>
      <w:r>
        <w:rPr>
          <w:rFonts w:ascii="Calibri" w:hAnsi="Calibri"/>
          <w:b/>
          <w:color w:val="0A1F44"/>
          <w:sz w:val="40"/>
        </w:rPr>
        <w:t>Enhancement Framework Validation</w:t>
      </w:r>
    </w:p>
    <w:p>
      <w:pPr>
        <w:spacing w:after="120"/>
      </w:pPr>
      <w:r>
        <w:rPr>
          <w:rFonts w:ascii="Georgia" w:hAnsi="Georgia"/>
          <w:i/>
          <w:color w:val="4B5563"/>
          <w:sz w:val="22"/>
        </w:rPr>
        <w:t>System capability confirmation</w:t>
      </w:r>
    </w:p>
    <w:p>
      <w:pPr>
        <w:spacing w:after="120"/>
      </w:pPr>
      <w:r>
        <w:rPr>
          <w:rFonts w:ascii="Georgia" w:hAnsi="Georgia"/>
          <w:i w:val="0"/>
          <w:color w:val="111827"/>
          <w:sz w:val="22"/>
        </w:rPr>
        <w:t>The artifact has been correctly identified as kind equals committee_pack within the enhancement workflow. This confirms that the system recognizes committee packs as a distinct artifact category alongside business cases, strategy documents, and other deliverable types.</w:t>
      </w:r>
    </w:p>
    <w:p>
      <w:pPr>
        <w:spacing w:after="120"/>
      </w:pPr>
      <w:r>
        <w:rPr>
          <w:rFonts w:ascii="Georgia" w:hAnsi="Georgia"/>
          <w:i w:val="0"/>
          <w:color w:val="111827"/>
          <w:sz w:val="22"/>
        </w:rPr>
        <w:t>The enhancement process successfully retrieved the artifact, applied the deliverable composer template with appropriate schema constraints, and enforced operating preferences including citation discipline and banned terminology filters.</w:t>
      </w:r>
    </w:p>
    <w:p>
      <w:pPr>
        <w:spacing w:after="120"/>
      </w:pPr>
      <w:r>
        <w:rPr>
          <w:rFonts w:ascii="Georgia" w:hAnsi="Georgia"/>
          <w:i w:val="0"/>
          <w:color w:val="111827"/>
          <w:sz w:val="22"/>
        </w:rPr>
        <w:t>For production use, the system is ready to process committee packs containing actual audit findings, control assessments, and governance recommendations. The infrastructure validation is complete.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Test coordinator — confirm artifact type recognition is functioning correctly</w:t>
      </w:r>
    </w:p>
    <w:p>
      <w:pPr>
        <w:spacing w:after="80"/>
      </w:pPr>
      <w:r>
        <w:rPr>
          <w:rFonts w:ascii="Calibri" w:hAnsi="Calibri"/>
          <w:b/>
          <w:color w:val="8B2E2B"/>
          <w:sz w:val="22"/>
        </w:rPr>
        <w:t xml:space="preserve">2.  </w:t>
      </w:r>
      <w:r>
        <w:rPr>
          <w:rFonts w:ascii="Georgia" w:hAnsi="Georgia"/>
          <w:color w:val="111827"/>
          <w:sz w:val="22"/>
        </w:rPr>
        <w:t>Development team — validate that empty or minimal-content artifacts trigger appropriate handling rather than hallucinated content generation</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System Testing &amp; Validation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