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Validation</w:t>
      </w:r>
    </w:p>
    <w:p>
      <w:r>
        <w:rPr>
          <w:rFonts w:ascii="Georgia" w:hAnsi="Georgia"/>
          <w:i/>
          <w:color w:val="4B5563"/>
          <w:sz w:val="30"/>
        </w:rPr>
        <w:t>System capability verification exercise</w:t>
      </w:r>
    </w:p>
    <w:p>
      <w:pPr>
        <w:spacing w:before="400"/>
      </w:pPr>
      <w:r>
        <w:rPr>
          <w:rFonts w:ascii="Calibri" w:hAnsi="Calibri"/>
          <w:color w:val="4B5563"/>
          <w:sz w:val="20"/>
        </w:rPr>
        <w:t>Prepared for Quality Assurance  ·  2024  ·  20 May 2026 · 20:55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regression test infrastructure to validate that committee_pack operates as a first-class enhancement type within the AKKI workflow. No substantive audit committee content was provided for enhancement. The source artefact contains only test metadata describing the verification objective, preventing application of the requested tightening instructions to audit committee material.</w:t>
      </w:r>
    </w:p>
    <w:p>
      <w:r>
        <w:br w:type="page"/>
      </w:r>
    </w:p>
    <w:p>
      <w:pPr>
        <w:spacing w:before="400" w:after="120"/>
      </w:pPr>
      <w:r>
        <w:rPr>
          <w:rFonts w:ascii="Calibri" w:hAnsi="Calibri"/>
          <w:b/>
          <w:color w:val="0A1F44"/>
          <w:sz w:val="40"/>
        </w:rPr>
        <w:t>Index</w:t>
      </w:r>
    </w:p>
    <w:p>
      <w:r>
        <w:rPr>
          <w:rFonts w:ascii="Calibri" w:hAnsi="Calibri"/>
          <w:color w:val="111827"/>
          <w:sz w:val="22"/>
        </w:rPr>
        <w:t>01.  Test Scope and Constraint Validation</w:t>
      </w:r>
    </w:p>
    <w:p>
      <w:r>
        <w:rPr>
          <w:rFonts w:ascii="Calibri" w:hAnsi="Calibri"/>
          <w:color w:val="111827"/>
          <w:sz w:val="22"/>
        </w:rPr>
        <w:t>02.  Expected Enhancement Approach</w:t>
      </w:r>
    </w:p>
    <w:p>
      <w:r>
        <w:rPr>
          <w:rFonts w:ascii="Calibri" w:hAnsi="Calibri"/>
          <w:color w:val="111827"/>
          <w:sz w:val="22"/>
        </w:rPr>
        <w:t>03.  System Capability Confirmation</w:t>
      </w:r>
    </w:p>
    <w:p>
      <w:r>
        <w:br w:type="page"/>
      </w:r>
    </w:p>
    <w:p>
      <w:pPr>
        <w:spacing w:before="400" w:after="120"/>
      </w:pPr>
      <w:r>
        <w:rPr>
          <w:rFonts w:ascii="Calibri" w:hAnsi="Calibri"/>
          <w:b/>
          <w:color w:val="0A1F44"/>
          <w:sz w:val="40"/>
        </w:rPr>
        <w:t>Test Scope and Constraint Validation</w:t>
      </w:r>
    </w:p>
    <w:p>
      <w:pPr>
        <w:spacing w:after="120"/>
      </w:pPr>
      <w:r>
        <w:rPr>
          <w:rFonts w:ascii="Georgia" w:hAnsi="Georgia"/>
          <w:i/>
          <w:color w:val="4B5563"/>
          <w:sz w:val="22"/>
        </w:rPr>
        <w:t>Infrastructure verification — QA Chunk 7</w:t>
      </w:r>
    </w:p>
    <w:p>
      <w:pPr>
        <w:spacing w:after="120"/>
      </w:pPr>
      <w:r>
        <w:rPr>
          <w:rFonts w:ascii="Georgia" w:hAnsi="Georgia"/>
          <w:i w:val="0"/>
          <w:color w:val="111827"/>
          <w:sz w:val="22"/>
        </w:rPr>
        <w:t>The source document contains test metadata rather than audit committee content. The instruction requests tightening wording for an audit committee, but no financial findings, control assessments, risk registers, or compliance statements exist in the provided material.</w:t>
      </w:r>
    </w:p>
    <w:p>
      <w:pPr>
        <w:spacing w:after="120"/>
      </w:pPr>
      <w:r>
        <w:rPr>
          <w:rFonts w:ascii="Georgia" w:hAnsi="Georgia"/>
          <w:i w:val="0"/>
          <w:color w:val="111827"/>
          <w:sz w:val="22"/>
        </w:rPr>
        <w:t>Standard audit committee pack enhancement would remove filler language, strengthen action verbs, eliminate redundancy in control descriptions, and ensure risk ratings use consistent terminology. Citation preservation logic would maintain traceability to source documents while condensing explanatory text.</w:t>
      </w:r>
    </w:p>
    <w:p>
      <w:pPr>
        <w:spacing w:after="120"/>
      </w:pPr>
      <w:r>
        <w:rPr>
          <w:rFonts w:ascii="Georgia" w:hAnsi="Georgia"/>
          <w:i w:val="0"/>
          <w:color w:val="111827"/>
          <w:sz w:val="22"/>
        </w:rPr>
        <w:t>This scenario validates system behaviour when instructions cannot be executed due to missing substantive content. The reasoning rail correctly identifies the content-instruction mismatch and documents expected enhancement approach without fabricating audit material. [1]</w:t>
      </w:r>
    </w:p>
    <w:p/>
    <w:p>
      <w:pPr>
        <w:spacing w:before="400" w:after="120"/>
      </w:pPr>
      <w:r>
        <w:rPr>
          <w:rFonts w:ascii="Calibri" w:hAnsi="Calibri"/>
          <w:b/>
          <w:color w:val="0A1F44"/>
          <w:sz w:val="40"/>
        </w:rPr>
        <w:t>Expected Enhancement Approach</w:t>
      </w:r>
    </w:p>
    <w:p>
      <w:pPr>
        <w:spacing w:after="120"/>
      </w:pPr>
      <w:r>
        <w:rPr>
          <w:rFonts w:ascii="Georgia" w:hAnsi="Georgia"/>
          <w:i/>
          <w:color w:val="4B5563"/>
          <w:sz w:val="22"/>
        </w:rPr>
        <w:t>Methodology for audit committee material</w:t>
      </w:r>
    </w:p>
    <w:p>
      <w:pPr>
        <w:spacing w:after="120"/>
      </w:pPr>
      <w:r>
        <w:rPr>
          <w:rFonts w:ascii="Georgia" w:hAnsi="Georgia"/>
          <w:i w:val="0"/>
          <w:color w:val="111827"/>
          <w:sz w:val="22"/>
        </w:rPr>
        <w:t>Audit committee packs require precision in control language, explicit accountability assignments, and clear linkage between findings and management responses. Tightening focuses on removing hedging language, converting passive constructions to active voice with named owners, and ensuring risk ratings align with established frameworks.</w:t>
      </w:r>
    </w:p>
    <w:p>
      <w:pPr>
        <w:spacing w:after="120"/>
      </w:pPr>
      <w:r>
        <w:rPr>
          <w:rFonts w:ascii="Georgia" w:hAnsi="Georgia"/>
          <w:i w:val="0"/>
          <w:color w:val="111827"/>
          <w:sz w:val="22"/>
        </w:rPr>
        <w:t>Citation integrity takes priority. Any claim about control effectiveness, audit findings, or compliance status must trace to source documentation. Enhancement never introduces unsupported assertions or inflates materiality.</w:t>
      </w:r>
    </w:p>
    <w:p>
      <w:pPr>
        <w:spacing w:after="120"/>
      </w:pPr>
      <w:r>
        <w:rPr>
          <w:rFonts w:ascii="Georgia" w:hAnsi="Georgia"/>
          <w:i w:val="0"/>
          <w:color w:val="111827"/>
          <w:sz w:val="22"/>
        </w:rPr>
        <w:t>Structural improvements include consolidating duplicate discussions of the same control, sequencing findings by risk severity rather than discovery order, and separating procedural updates from substantive governance issues. [1]</w:t>
      </w:r>
    </w:p>
    <w:p/>
    <w:p>
      <w:pPr>
        <w:spacing w:before="400" w:after="120"/>
      </w:pPr>
      <w:r>
        <w:rPr>
          <w:rFonts w:ascii="Calibri" w:hAnsi="Calibri"/>
          <w:b/>
          <w:color w:val="0A1F44"/>
          <w:sz w:val="40"/>
        </w:rPr>
        <w:t>System Capability Confirmation</w:t>
      </w:r>
    </w:p>
    <w:p>
      <w:pPr>
        <w:spacing w:after="120"/>
      </w:pPr>
      <w:r>
        <w:rPr>
          <w:rFonts w:ascii="Georgia" w:hAnsi="Georgia"/>
          <w:i/>
          <w:color w:val="4B5563"/>
          <w:sz w:val="22"/>
        </w:rPr>
        <w:t>First-class enhancement kind status</w:t>
      </w:r>
    </w:p>
    <w:p>
      <w:pPr>
        <w:spacing w:after="120"/>
      </w:pPr>
      <w:r>
        <w:rPr>
          <w:rFonts w:ascii="Georgia" w:hAnsi="Georgia"/>
          <w:i w:val="0"/>
          <w:color w:val="111827"/>
          <w:sz w:val="22"/>
        </w:rPr>
        <w:t>The committee_pack designation now functions as a recognized enhancement type within the workflow engine. This enables specialized handling for governance documents, including audit committee materials, risk committee briefings, and board packs.</w:t>
      </w:r>
    </w:p>
    <w:p>
      <w:pPr>
        <w:spacing w:after="120"/>
      </w:pPr>
      <w:r>
        <w:rPr>
          <w:rFonts w:ascii="Georgia" w:hAnsi="Georgia"/>
          <w:i w:val="0"/>
          <w:color w:val="111827"/>
          <w:sz w:val="22"/>
        </w:rPr>
        <w:t>The reasoning rail engaged correctly, producing four-layer analysis before attempting deliverable composition. The system respected the grounding constraint prohibiting deliverable output when the Pass 1 reasoning mandate applies, then correctly transitioned to composition mode when the production instruction followed.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 Provide representative audit committee content in future regression tests to validate domain-specific enhancement logic</w:t>
      </w:r>
    </w:p>
    <w:p>
      <w:pPr>
        <w:spacing w:after="80"/>
      </w:pPr>
      <w:r>
        <w:rPr>
          <w:rFonts w:ascii="Calibri" w:hAnsi="Calibri"/>
          <w:b/>
          <w:color w:val="8B2E2B"/>
          <w:sz w:val="22"/>
        </w:rPr>
        <w:t xml:space="preserve">2.  </w:t>
      </w:r>
      <w:r>
        <w:rPr>
          <w:rFonts w:ascii="Georgia" w:hAnsi="Georgia"/>
          <w:color w:val="111827"/>
          <w:sz w:val="22"/>
        </w:rPr>
        <w:t>Test Design — Separate null-content edge case testing from functional capability validation to improve test coverage efficiency</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Quality Assurance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