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0"/>
        <w:gridCol w:w="3426"/>
      </w:tblGrid>
      <w:tr>
        <w:tc>
          <w:tcPr>
            <w:tcW w:type="dxa" w:w="560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40"/>
            </w:pPr>
            <w:r>
              <w:rPr>
                <w:rFonts w:ascii="Calibri" w:cs="Calibri" w:eastAsia="Calibri" w:hAnsi="Calibri"/>
                <w:b/>
                <w:bCs/>
                <w:color w:val="0D1B2A"/>
                <w:sz w:val="52"/>
                <w:szCs w:val="52"/>
              </w:rPr>
              <w:t xml:space="preserve">LEMASY</w:t>
            </w:r>
          </w:p>
          <w:p>
            <w:pPr>
              <w:spacing w:after="40"/>
            </w:pPr>
            <w:r>
              <w:rPr>
                <w:rFonts w:ascii="Calibri" w:cs="Calibri" w:eastAsia="Calibri" w:hAnsi="Calibri"/>
                <w:color w:val="00B4D8"/>
                <w:sz w:val="22"/>
                <w:szCs w:val="22"/>
              </w:rPr>
              <w:t xml:space="preserve">AI Intelligence Solutions</w:t>
            </w:r>
          </w:p>
          <w:p>
            <w:pPr>
              <w:spacing w:after="40"/>
            </w:pPr>
            <w:r>
              <w:rPr>
                <w:rFonts w:ascii="Calibri" w:cs="Calibri" w:eastAsia="Calibri" w:hAnsi="Calibri"/>
                <w:color w:val="7B8FA6"/>
                <w:sz w:val="18"/>
                <w:szCs w:val="18"/>
              </w:rPr>
              <w:t xml:space="preserve">Nairobi, Kenya  |  Johannesburg, South Africa</w:t>
            </w:r>
          </w:p>
        </w:tc>
        <w:tc>
          <w:tcPr>
            <w:tcW w:type="dxa" w:w="3426"/>
            <w:tcBorders>
              <w:top w:val="none" w:color="FFFFFF" w:sz="0"/>
              <w:left w:val="none" w:color="FFFFFF" w:sz="0"/>
              <w:bottom w:val="none" w:color="FFFFFF" w:sz="0"/>
              <w:right w:val="none" w:color="FFFFFF" w:sz="0"/>
            </w:tcBorders>
            <w:tcMar>
              <w:top w:type="dxa" w:w="0"/>
              <w:left w:type="dxa" w:w="200"/>
              <w:bottom w:type="dxa" w:w="0"/>
              <w:right w:type="dxa" w:w="0"/>
            </w:tcMar>
            <w:vAlign w:val="bottom"/>
          </w:tcPr>
          <w:p>
            <w:pPr>
              <w:jc w:val="right"/>
            </w:pPr>
            <w:r>
              <w:rPr>
                <w:rFonts w:ascii="Calibri" w:cs="Calibri" w:eastAsia="Calibri" w:hAnsi="Calibri"/>
                <w:b/>
                <w:bCs/>
                <w:color w:val="00B4D8"/>
                <w:sz w:val="17"/>
                <w:szCs w:val="17"/>
              </w:rPr>
              <w:t xml:space="preserve">CHIEF EXECUTIVE OFFICER'S REPORT — Q1 2025</w:t>
            </w:r>
          </w:p>
          <w:p>
            <w:pPr>
              <w:spacing w:before="40"/>
              <w:jc w:val="right"/>
            </w:pPr>
            <w:r>
              <w:rPr>
                <w:rFonts w:ascii="Calibri" w:cs="Calibri" w:eastAsia="Calibri" w:hAnsi="Calibri"/>
                <w:color w:val="7B8FA6"/>
                <w:sz w:val="16"/>
                <w:szCs w:val="16"/>
              </w:rPr>
              <w:t xml:space="preserve">Q1 2025  |  28 March 2025</w:t>
            </w:r>
          </w:p>
        </w:tc>
      </w:tr>
    </w:tbl>
    <w:p>
      <w:pPr>
        <w:pBdr>
          <w:bottom w:val="single" w:color="00B4D8" w:sz="8" w:space="1"/>
        </w:pBdr>
        <w:spacing w:after="0"/>
      </w:pPr>
    </w:p>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D1B2A"/>
                <w:sz w:val="20"/>
                <w:szCs w:val="20"/>
              </w:rPr>
              <w:t xml:space="preserve">Prepared by</w:t>
            </w:r>
          </w:p>
        </w:tc>
        <w:tc>
          <w:tcPr>
            <w:tcW w:type="dxa" w:w="72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Ms. Amara Osei-Bonsu</w:t>
            </w:r>
          </w:p>
        </w:tc>
      </w:tr>
      <w:tr>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D1B2A"/>
                <w:sz w:val="20"/>
                <w:szCs w:val="20"/>
              </w:rPr>
              <w:t xml:space="preserve">Role</w:t>
            </w:r>
          </w:p>
        </w:tc>
        <w:tc>
          <w:tcPr>
            <w:tcW w:type="dxa" w:w="72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Chief Executive Officer &amp; Co-Founder</w:t>
            </w:r>
          </w:p>
        </w:tc>
      </w:tr>
      <w:tr>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D1B2A"/>
                <w:sz w:val="20"/>
                <w:szCs w:val="20"/>
              </w:rPr>
              <w:t xml:space="preserve">Period</w:t>
            </w:r>
          </w:p>
        </w:tc>
        <w:tc>
          <w:tcPr>
            <w:tcW w:type="dxa" w:w="72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Q1 2025 2025  |  January – March 2025</w:t>
            </w:r>
          </w:p>
        </w:tc>
      </w:tr>
      <w:tr>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D1B2A"/>
                <w:sz w:val="20"/>
                <w:szCs w:val="20"/>
              </w:rPr>
              <w:t xml:space="preserve">Submitted to</w:t>
            </w:r>
          </w:p>
        </w:tc>
        <w:tc>
          <w:tcPr>
            <w:tcW w:type="dxa" w:w="72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Lemasy Board of Directors</w:t>
            </w:r>
          </w:p>
        </w:tc>
      </w:tr>
      <w:tr>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D1B2A"/>
                <w:sz w:val="20"/>
                <w:szCs w:val="20"/>
              </w:rPr>
              <w:t xml:space="preserve">Date</w:t>
            </w:r>
          </w:p>
        </w:tc>
        <w:tc>
          <w:tcPr>
            <w:tcW w:type="dxa" w:w="72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28 March 2025</w:t>
            </w:r>
          </w:p>
        </w:tc>
      </w:tr>
    </w:tbl>
    <w:p>
      <w:pPr>
        <w:spacing w:after="200" w:before="0"/>
      </w:pPr>
    </w:p>
    <w:p>
      <w:pPr>
        <w:pStyle w:val="Heading1"/>
        <w:spacing w:after="140" w:before="400"/>
      </w:pPr>
      <w:r>
        <w:rPr>
          <w:rFonts w:ascii="Calibri" w:cs="Calibri" w:eastAsia="Calibri" w:hAnsi="Calibri"/>
          <w:b/>
          <w:bCs/>
          <w:color w:val="0D1B2A"/>
          <w:sz w:val="30"/>
          <w:szCs w:val="30"/>
        </w:rPr>
        <w:t xml:space="preserve">1.  Foreword</w:t>
      </w:r>
    </w:p>
    <w:p>
      <w:pPr>
        <w:spacing w:after="120" w:before="80"/>
        <w:jc w:val="both"/>
      </w:pPr>
      <w:r>
        <w:rPr>
          <w:rFonts w:ascii="Calibri" w:cs="Calibri" w:eastAsia="Calibri" w:hAnsi="Calibri"/>
          <w:b w:val="false"/>
          <w:bCs w:val="false"/>
          <w:color w:val="1A1A2E"/>
          <w:sz w:val="22"/>
          <w:szCs w:val="22"/>
        </w:rPr>
        <w:t xml:space="preserve">I am pleased to present Lemasy's Chief Executive Officer's Report for Q1 2025, covering the period January to March 2025 across our Kenya and South Africa operations.</w:t>
      </w:r>
    </w:p>
    <w:p>
      <w:pPr>
        <w:spacing w:after="80" w:before="0"/>
      </w:pPr>
    </w:p>
    <w:p>
      <w:pPr>
        <w:spacing w:after="120" w:before="80"/>
        <w:jc w:val="both"/>
      </w:pPr>
      <w:r>
        <w:rPr>
          <w:rFonts w:ascii="Calibri" w:cs="Calibri" w:eastAsia="Calibri" w:hAnsi="Calibri"/>
          <w:b w:val="false"/>
          <w:bCs w:val="false"/>
          <w:color w:val="1A1A2E"/>
          <w:sz w:val="22"/>
          <w:szCs w:val="22"/>
        </w:rPr>
        <w:t xml:space="preserve">Q1 2025 has been the most commercially significant quarter in Lemasy's history. We crossed USD 2M in quarterly revenue for the first time, with total billings of USD 2.14M — 18.9% ahead of plan and 34.6% above Q1 2024. Our Annual Recurring Revenue (ARR) base grew to USD 4.8M, with three new enterprise subscription clients contracted in Q1 — all in the financial services sector.</w:t>
      </w:r>
    </w:p>
    <w:p>
      <w:pPr>
        <w:spacing w:after="80" w:before="0"/>
      </w:pPr>
    </w:p>
    <w:p>
      <w:pPr>
        <w:spacing w:after="120" w:before="80"/>
        <w:jc w:val="both"/>
      </w:pPr>
      <w:r>
        <w:rPr>
          <w:rFonts w:ascii="Calibri" w:cs="Calibri" w:eastAsia="Calibri" w:hAnsi="Calibri"/>
          <w:b w:val="false"/>
          <w:bCs w:val="false"/>
          <w:color w:val="1A1A2E"/>
          <w:sz w:val="22"/>
          <w:szCs w:val="22"/>
        </w:rPr>
        <w:t xml:space="preserve">The South Africa market continues to scale faster than our initial projections. Our Johannesburg entity generated USD 0.72M in Q1, representing 33.6% of group revenue — up from 24% in Q1 2024. The pipeline in South Africa is the strongest we have ever seen, driven by demand for AI-powered Know Your Customer (KYC), credit risk, and fraud detection applications from banks and insurers.</w:t>
      </w:r>
    </w:p>
    <w:p>
      <w:pPr>
        <w:spacing w:after="80" w:before="0"/>
      </w:pPr>
    </w:p>
    <w:p>
      <w:pPr>
        <w:spacing w:after="120" w:before="80"/>
        <w:jc w:val="both"/>
      </w:pPr>
      <w:r>
        <w:rPr>
          <w:rFonts w:ascii="Calibri" w:cs="Calibri" w:eastAsia="Calibri" w:hAnsi="Calibri"/>
          <w:b w:val="false"/>
          <w:bCs w:val="false"/>
          <w:color w:val="1A1A2E"/>
          <w:sz w:val="22"/>
          <w:szCs w:val="22"/>
        </w:rPr>
        <w:t xml:space="preserve">On the product side, our flagship platform, Lemasy Cortex, received its most significant capability release to date in February 2025 — the Cortex Intelligence Layer v2.1, which introduced real-time data ingestion from external APIs, improved explainability dashboards, and reduced model inference latency by 41%. Client adoption of the new release has been rapid: 8 of our 11 active Cortex clients had migrated within 6 weeks of release.</w:t>
      </w:r>
    </w:p>
    <w:p>
      <w:pPr>
        <w:spacing w:after="80" w:before="0"/>
      </w:pPr>
    </w:p>
    <w:p>
      <w:pPr>
        <w:spacing w:after="120" w:before="80"/>
        <w:jc w:val="both"/>
      </w:pPr>
      <w:r>
        <w:rPr>
          <w:rFonts w:ascii="Calibri" w:cs="Calibri" w:eastAsia="Calibri" w:hAnsi="Calibri"/>
          <w:b/>
          <w:bCs/>
          <w:color w:val="1A1A2E"/>
          <w:sz w:val="22"/>
          <w:szCs w:val="22"/>
        </w:rPr>
        <w:t xml:space="preserve">The primary challenge in Q1 was talent. </w:t>
      </w:r>
      <w:r>
        <w:rPr>
          <w:rFonts w:ascii="Calibri" w:cs="Calibri" w:eastAsia="Calibri" w:hAnsi="Calibri"/>
          <w:b w:val="false"/>
          <w:bCs w:val="false"/>
          <w:color w:val="1A1A2E"/>
          <w:sz w:val="22"/>
          <w:szCs w:val="22"/>
        </w:rPr>
        <w:t xml:space="preserve">We lost two senior AI engineers — both to hyperscaler recruitment — and our time-to-fill for technical roles remains too long at 74 days average. This is my most urgent operational priority for Q2 and I have taken direct accountability for the engineering talent strategy.</w:t>
      </w:r>
    </w:p>
    <w:p>
      <w:pPr>
        <w:spacing w:after="80" w:before="0"/>
      </w:pPr>
    </w:p>
    <w:p>
      <w:pPr>
        <w:spacing w:after="120" w:before="80"/>
        <w:jc w:val="both"/>
      </w:pPr>
      <w:r>
        <w:rPr>
          <w:rFonts w:ascii="Calibri" w:cs="Calibri" w:eastAsia="Calibri" w:hAnsi="Calibri"/>
          <w:b w:val="false"/>
          <w:bCs w:val="false"/>
          <w:color w:val="1A1A2E"/>
          <w:sz w:val="22"/>
          <w:szCs w:val="22"/>
        </w:rPr>
        <w:t xml:space="preserve">This report covers: our Executive Scorecard; a market-by-market review (Kenya and South Africa); a product and technology update; a people and culture update; and my Q2 priorities and board commitments.</w:t>
      </w:r>
    </w:p>
    <w:p>
      <w:pPr>
        <w:spacing w:after="80" w:before="0"/>
      </w:pPr>
    </w:p>
    <w:p>
      <w:pPr>
        <w:spacing w:after="120" w:before="80"/>
        <w:jc w:val="both"/>
      </w:pPr>
      <w:r>
        <w:rPr>
          <w:rFonts w:ascii="Calibri" w:cs="Calibri" w:eastAsia="Calibri" w:hAnsi="Calibri"/>
          <w:b w:val="false"/>
          <w:bCs w:val="false"/>
          <w:color w:val="1A1A2E"/>
          <w:sz w:val="22"/>
          <w:szCs w:val="22"/>
        </w:rPr>
        <w:t xml:space="preserve">Respectfully submitted,</w:t>
      </w:r>
    </w:p>
    <w:p>
      <w:pPr>
        <w:spacing w:after="40" w:before="0"/>
      </w:pPr>
    </w:p>
    <w:p>
      <w:pPr>
        <w:spacing w:after="40" w:before="80"/>
        <w:jc w:val="both"/>
      </w:pPr>
      <w:r>
        <w:rPr>
          <w:rFonts w:ascii="Calibri" w:cs="Calibri" w:eastAsia="Calibri" w:hAnsi="Calibri"/>
          <w:b/>
          <w:bCs/>
          <w:color w:val="0D1B2A"/>
          <w:sz w:val="24"/>
          <w:szCs w:val="24"/>
        </w:rPr>
        <w:t xml:space="preserve">Ms. Amara Osei-Bonsu</w:t>
      </w:r>
    </w:p>
    <w:p>
      <w:pPr>
        <w:spacing w:after="120" w:before="80"/>
        <w:jc w:val="both"/>
      </w:pPr>
      <w:r>
        <w:rPr>
          <w:rFonts w:ascii="Calibri" w:cs="Calibri" w:eastAsia="Calibri" w:hAnsi="Calibri"/>
          <w:b w:val="false"/>
          <w:bCs w:val="false"/>
          <w:color w:val="1E3A5F"/>
          <w:sz w:val="20"/>
          <w:szCs w:val="20"/>
        </w:rPr>
        <w:t xml:space="preserve">Chief Executive Officer &amp; Co-Founder, Lemasy Limited</w:t>
      </w:r>
    </w:p>
    <w:p>
      <w:pPr>
        <w:spacing w:after="120" w:before="80"/>
        <w:jc w:val="both"/>
      </w:pPr>
      <w:r>
        <w:rPr>
          <w:rFonts w:ascii="Calibri" w:cs="Calibri" w:eastAsia="Calibri" w:hAnsi="Calibri"/>
          <w:b w:val="false"/>
          <w:bCs w:val="false"/>
          <w:color w:val="7B8FA6"/>
          <w:sz w:val="18"/>
          <w:szCs w:val="18"/>
        </w:rPr>
        <w:t xml:space="preserve">28 March 2025</w:t>
      </w:r>
    </w:p>
    <w:p>
      <w:pPr>
        <w:spacing w:after="200" w:before="0"/>
      </w:pPr>
    </w:p>
    <w:p>
      <w:pPr>
        <w:pStyle w:val="Heading1"/>
        <w:spacing w:after="140" w:before="400"/>
      </w:pPr>
      <w:r>
        <w:rPr>
          <w:rFonts w:ascii="Calibri" w:cs="Calibri" w:eastAsia="Calibri" w:hAnsi="Calibri"/>
          <w:b/>
          <w:bCs/>
          <w:color w:val="0D1B2A"/>
          <w:sz w:val="30"/>
          <w:szCs w:val="30"/>
        </w:rPr>
        <w:t xml:space="preserve">2.  Executive Scorecard — Q1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1926"/>
      </w:tblGrid>
      <w:tr>
        <w:tc>
          <w:tcPr>
            <w:tcW w:type="dxa" w:w="35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Metric</w:t>
            </w:r>
          </w:p>
        </w:tc>
        <w:tc>
          <w:tcPr>
            <w:tcW w:type="dxa" w:w="18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Q1 2025</w:t>
            </w:r>
          </w:p>
        </w:tc>
        <w:tc>
          <w:tcPr>
            <w:tcW w:type="dxa" w:w="18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Target / Budget</w:t>
            </w:r>
          </w:p>
        </w:tc>
        <w:tc>
          <w:tcPr>
            <w:tcW w:type="dxa" w:w="1926"/>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Status</w:t>
            </w:r>
          </w:p>
        </w:tc>
      </w:tr>
      <w:tr>
        <w:tc>
          <w:tcPr>
            <w:tcW w:type="dxa" w:w="35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Total Revenue</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USD 2.14M</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1.80M</w:t>
            </w:r>
          </w:p>
        </w:tc>
        <w:tc>
          <w:tcPr>
            <w:tcW w:type="dxa" w:w="19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 +18.9% vs budget</w:t>
            </w:r>
          </w:p>
        </w:tc>
      </w:tr>
      <w:tr>
        <w:tc>
          <w:tcPr>
            <w:tcW w:type="dxa" w:w="35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Annual Recurring Revenue (ARR)</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USD 4.80M</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4.20M</w:t>
            </w:r>
          </w:p>
        </w:tc>
        <w:tc>
          <w:tcPr>
            <w:tcW w:type="dxa" w:w="19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 +14.3% vs budget</w:t>
            </w:r>
          </w:p>
        </w:tc>
      </w:tr>
      <w:tr>
        <w:tc>
          <w:tcPr>
            <w:tcW w:type="dxa" w:w="35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Recurring Revenue % of Total</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52%</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 50% target</w:t>
            </w:r>
          </w:p>
        </w:tc>
        <w:tc>
          <w:tcPr>
            <w:tcW w:type="dxa" w:w="19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On Track</w:t>
            </w:r>
          </w:p>
        </w:tc>
      </w:tr>
      <w:tr>
        <w:tc>
          <w:tcPr>
            <w:tcW w:type="dxa" w:w="35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Gross Profit Margin</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64.2%</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 62% target</w:t>
            </w:r>
          </w:p>
        </w:tc>
        <w:tc>
          <w:tcPr>
            <w:tcW w:type="dxa" w:w="19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 Above</w:t>
            </w:r>
          </w:p>
        </w:tc>
      </w:tr>
      <w:tr>
        <w:tc>
          <w:tcPr>
            <w:tcW w:type="dxa" w:w="35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EBITDA</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USD 0.38M</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0.22M</w:t>
            </w:r>
          </w:p>
        </w:tc>
        <w:tc>
          <w:tcPr>
            <w:tcW w:type="dxa" w:w="19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 +72.7% vs budget</w:t>
            </w:r>
          </w:p>
        </w:tc>
      </w:tr>
      <w:tr>
        <w:tc>
          <w:tcPr>
            <w:tcW w:type="dxa" w:w="35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EBITDA Margin</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17.8%</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12.2% budget</w:t>
            </w:r>
          </w:p>
        </w:tc>
        <w:tc>
          <w:tcPr>
            <w:tcW w:type="dxa" w:w="19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 Above</w:t>
            </w:r>
          </w:p>
        </w:tc>
      </w:tr>
      <w:tr>
        <w:tc>
          <w:tcPr>
            <w:tcW w:type="dxa" w:w="35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Net Revenue Retention (NRR)</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118%</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 110% target</w:t>
            </w:r>
          </w:p>
        </w:tc>
        <w:tc>
          <w:tcPr>
            <w:tcW w:type="dxa" w:w="19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 Above</w:t>
            </w:r>
          </w:p>
        </w:tc>
      </w:tr>
      <w:tr>
        <w:tc>
          <w:tcPr>
            <w:tcW w:type="dxa" w:w="35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New Logos Won (Q1)</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3 enterprise</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2 budgeted</w:t>
            </w:r>
          </w:p>
        </w:tc>
        <w:tc>
          <w:tcPr>
            <w:tcW w:type="dxa" w:w="19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 Above</w:t>
            </w:r>
          </w:p>
        </w:tc>
      </w:tr>
      <w:tr>
        <w:tc>
          <w:tcPr>
            <w:tcW w:type="dxa" w:w="35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Churn — Subscription Clients</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0%</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&lt; 5% target</w:t>
            </w:r>
          </w:p>
        </w:tc>
        <w:tc>
          <w:tcPr>
            <w:tcW w:type="dxa" w:w="19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Green</w:t>
            </w:r>
          </w:p>
        </w:tc>
      </w:tr>
      <w:tr>
        <w:tc>
          <w:tcPr>
            <w:tcW w:type="dxa" w:w="35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Pipeline Value (Qualified)</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USD 6.4M</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5.0M</w:t>
            </w:r>
          </w:p>
        </w:tc>
        <w:tc>
          <w:tcPr>
            <w:tcW w:type="dxa" w:w="19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 Above</w:t>
            </w:r>
          </w:p>
        </w:tc>
      </w:tr>
      <w:tr>
        <w:tc>
          <w:tcPr>
            <w:tcW w:type="dxa" w:w="35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Headcount</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87 FTE</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82 FTE budget</w:t>
            </w:r>
          </w:p>
        </w:tc>
        <w:tc>
          <w:tcPr>
            <w:tcW w:type="dxa" w:w="19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Above — hiring ahead</w:t>
            </w:r>
          </w:p>
        </w:tc>
      </w:tr>
      <w:tr>
        <w:tc>
          <w:tcPr>
            <w:tcW w:type="dxa" w:w="35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Annualised Attrition</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18.4%</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&lt; 15% target</w:t>
            </w:r>
          </w:p>
        </w:tc>
        <w:tc>
          <w:tcPr>
            <w:tcW w:type="dxa" w:w="19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 Below target</w:t>
            </w:r>
          </w:p>
        </w:tc>
      </w:tr>
      <w:tr>
        <w:tc>
          <w:tcPr>
            <w:tcW w:type="dxa" w:w="35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Engineering Vacancies (Open)</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7 roles</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 4 target</w:t>
            </w:r>
          </w:p>
        </w:tc>
        <w:tc>
          <w:tcPr>
            <w:tcW w:type="dxa" w:w="19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 Below target</w:t>
            </w:r>
          </w:p>
        </w:tc>
      </w:tr>
      <w:tr>
        <w:tc>
          <w:tcPr>
            <w:tcW w:type="dxa" w:w="35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Cortex Platform Uptime</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99.81%</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 99.5% SLA</w:t>
            </w:r>
          </w:p>
        </w:tc>
        <w:tc>
          <w:tcPr>
            <w:tcW w:type="dxa" w:w="19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Green</w:t>
            </w:r>
          </w:p>
        </w:tc>
      </w:tr>
      <w:tr>
        <w:tc>
          <w:tcPr>
            <w:tcW w:type="dxa" w:w="35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Client NPS</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62</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 55 target</w:t>
            </w:r>
          </w:p>
        </w:tc>
        <w:tc>
          <w:tcPr>
            <w:tcW w:type="dxa" w:w="19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 Above</w:t>
            </w:r>
          </w:p>
        </w:tc>
      </w:tr>
    </w:tbl>
    <w:p>
      <w:pPr>
        <w:spacing w:after="160" w:before="0"/>
      </w:pPr>
    </w:p>
    <w:p>
      <w:pPr>
        <w:pStyle w:val="Heading1"/>
        <w:spacing w:after="140" w:before="400"/>
      </w:pPr>
      <w:r>
        <w:rPr>
          <w:rFonts w:ascii="Calibri" w:cs="Calibri" w:eastAsia="Calibri" w:hAnsi="Calibri"/>
          <w:b/>
          <w:bCs/>
          <w:color w:val="0D1B2A"/>
          <w:sz w:val="30"/>
          <w:szCs w:val="30"/>
        </w:rPr>
        <w:t xml:space="preserve">3.  Market Review</w:t>
      </w:r>
    </w:p>
    <w:p>
      <w:pPr>
        <w:pStyle w:val="Heading2"/>
        <w:spacing w:after="100" w:before="280"/>
      </w:pPr>
      <w:r>
        <w:rPr>
          <w:rFonts w:ascii="Calibri" w:cs="Calibri" w:eastAsia="Calibri" w:hAnsi="Calibri"/>
          <w:b/>
          <w:bCs/>
          <w:color w:val="1E3A5F"/>
          <w:sz w:val="24"/>
          <w:szCs w:val="24"/>
        </w:rPr>
        <w:t xml:space="preserve">3.1  Kenya — Headquarters &amp; Primary Market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56"/>
        <w:gridCol w:w="1756"/>
        <w:gridCol w:w="1756"/>
        <w:gridCol w:w="1758"/>
      </w:tblGrid>
      <w:tr>
        <w:tc>
          <w:tcPr>
            <w:tcW w:type="dxa" w:w="20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Revenue</w:t>
            </w:r>
          </w:p>
        </w:tc>
        <w:tc>
          <w:tcPr>
            <w:tcW w:type="dxa" w:w="1756"/>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ARR</w:t>
            </w:r>
          </w:p>
        </w:tc>
        <w:tc>
          <w:tcPr>
            <w:tcW w:type="dxa" w:w="1756"/>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Active Clients</w:t>
            </w:r>
          </w:p>
        </w:tc>
        <w:tc>
          <w:tcPr>
            <w:tcW w:type="dxa" w:w="1756"/>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Gross Margin</w:t>
            </w:r>
          </w:p>
        </w:tc>
        <w:tc>
          <w:tcPr>
            <w:tcW w:type="dxa" w:w="1758"/>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YoY Revenue</w:t>
            </w:r>
          </w:p>
        </w:tc>
      </w:tr>
      <w:tr>
        <w:tc>
          <w:tcPr>
            <w:tcW w:type="dxa" w:w="20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bCs/>
                <w:color w:val="0D1B2A"/>
                <w:sz w:val="20"/>
                <w:szCs w:val="20"/>
              </w:rPr>
              <w:t xml:space="preserve">USD 1.42M</w:t>
            </w:r>
          </w:p>
        </w:tc>
        <w:tc>
          <w:tcPr>
            <w:tcW w:type="dxa" w:w="175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2.94M</w:t>
            </w:r>
          </w:p>
        </w:tc>
        <w:tc>
          <w:tcPr>
            <w:tcW w:type="dxa" w:w="175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9 active</w:t>
            </w:r>
          </w:p>
        </w:tc>
        <w:tc>
          <w:tcPr>
            <w:tcW w:type="dxa" w:w="175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61.8%</w:t>
            </w:r>
          </w:p>
        </w:tc>
        <w:tc>
          <w:tcPr>
            <w:tcW w:type="dxa" w:w="1758"/>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 +28.7%</w:t>
            </w:r>
          </w:p>
        </w:tc>
      </w:tr>
    </w:tbl>
    <w:p>
      <w:pPr>
        <w:spacing w:after="120" w:before="0"/>
      </w:pPr>
    </w:p>
    <w:p>
      <w:pPr>
        <w:spacing w:after="120" w:before="80"/>
        <w:jc w:val="both"/>
      </w:pPr>
      <w:r>
        <w:rPr>
          <w:rFonts w:ascii="Calibri" w:cs="Calibri" w:eastAsia="Calibri" w:hAnsi="Calibri"/>
          <w:b w:val="false"/>
          <w:bCs w:val="false"/>
          <w:color w:val="1A1A2E"/>
          <w:sz w:val="22"/>
          <w:szCs w:val="22"/>
        </w:rPr>
        <w:t xml:space="preserve">Kenya delivered strong Q1 performance anchored by three factors: (i) the full-year activation of the Equity Bank AI credit scoring contract signed in December 2024, which went live in January 2025 generating USD 0.28M in project milestone revenue plus recurring API fees; (ii) expansion of the KCB Group engagement to include fraud detection across their retail banking division; and (iii) a new USD 0.32M project win with Safaricom for AI-driven churn prediction modelling.</w:t>
      </w:r>
    </w:p>
    <w:p>
      <w:pPr>
        <w:spacing w:after="80" w:before="0"/>
      </w:pPr>
    </w:p>
    <w:p>
      <w:pPr>
        <w:spacing w:after="120" w:before="80"/>
        <w:jc w:val="both"/>
      </w:pPr>
      <w:r>
        <w:rPr>
          <w:rFonts w:ascii="Calibri" w:cs="Calibri" w:eastAsia="Calibri" w:hAnsi="Calibri"/>
          <w:b w:val="false"/>
          <w:bCs w:val="false"/>
          <w:color w:val="1A1A2E"/>
          <w:sz w:val="22"/>
          <w:szCs w:val="22"/>
        </w:rPr>
        <w:t xml:space="preserve">The Kenyan B2B AI market is maturing quickly. Regulatory clarity from the CBK on AI use in credit decisioning (Guidance Note published February 2025) has materially reduced sales cycle friction — clients are now acting with greater confidence. The pipeline in Kenya stands at USD 3.1M qualified opportunities, the largest it has been since our founding.</w:t>
      </w:r>
    </w:p>
    <w:p>
      <w:pPr>
        <w:spacing w:after="80" w:before="0"/>
      </w:pPr>
    </w:p>
    <w:p>
      <w:pPr>
        <w:spacing w:after="120" w:before="80"/>
        <w:jc w:val="both"/>
      </w:pPr>
      <w:r>
        <w:rPr>
          <w:rFonts w:ascii="Calibri" w:cs="Calibri" w:eastAsia="Calibri" w:hAnsi="Calibri"/>
          <w:b w:val="false"/>
          <w:bCs w:val="false"/>
          <w:color w:val="1A1A2E"/>
          <w:sz w:val="22"/>
          <w:szCs w:val="22"/>
        </w:rPr>
        <w:t xml:space="preserve">Management priorities for Q2 — Kenya:</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Close the Stanbic Bank Kenya pipeline opportunity (USD 480,000 — AML screening platform). Decision expected by 30 April.</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Deliver Phase 2 of the Equity Bank credit scoring project on schedule (June 2025 milestone — USD 0.18M).</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Recruit two AI engineers in Nairobi — targeting candidates from the local university pipeline and Andela graduate network.</w:t>
      </w:r>
    </w:p>
    <w:p>
      <w:pPr>
        <w:spacing w:after="160" w:before="0"/>
      </w:pPr>
    </w:p>
    <w:p>
      <w:pPr>
        <w:pStyle w:val="Heading2"/>
        <w:spacing w:after="100" w:before="280"/>
      </w:pPr>
      <w:r>
        <w:rPr>
          <w:rFonts w:ascii="Calibri" w:cs="Calibri" w:eastAsia="Calibri" w:hAnsi="Calibri"/>
          <w:b/>
          <w:bCs/>
          <w:color w:val="1E3A5F"/>
          <w:sz w:val="24"/>
          <w:szCs w:val="24"/>
        </w:rPr>
        <w:t xml:space="preserve">3.2  South Africa — Growth Market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56"/>
        <w:gridCol w:w="1756"/>
        <w:gridCol w:w="1756"/>
        <w:gridCol w:w="1758"/>
      </w:tblGrid>
      <w:tr>
        <w:tc>
          <w:tcPr>
            <w:tcW w:type="dxa" w:w="20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Revenue</w:t>
            </w:r>
          </w:p>
        </w:tc>
        <w:tc>
          <w:tcPr>
            <w:tcW w:type="dxa" w:w="1756"/>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ARR</w:t>
            </w:r>
          </w:p>
        </w:tc>
        <w:tc>
          <w:tcPr>
            <w:tcW w:type="dxa" w:w="1756"/>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Active Clients</w:t>
            </w:r>
          </w:p>
        </w:tc>
        <w:tc>
          <w:tcPr>
            <w:tcW w:type="dxa" w:w="1756"/>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Gross Margin</w:t>
            </w:r>
          </w:p>
        </w:tc>
        <w:tc>
          <w:tcPr>
            <w:tcW w:type="dxa" w:w="1758"/>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YoY Revenue</w:t>
            </w:r>
          </w:p>
        </w:tc>
      </w:tr>
      <w:tr>
        <w:tc>
          <w:tcPr>
            <w:tcW w:type="dxa" w:w="20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bCs/>
                <w:color w:val="0D1B2A"/>
                <w:sz w:val="20"/>
                <w:szCs w:val="20"/>
              </w:rPr>
              <w:t xml:space="preserve">USD 0.72M</w:t>
            </w:r>
          </w:p>
        </w:tc>
        <w:tc>
          <w:tcPr>
            <w:tcW w:type="dxa" w:w="175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1.86M</w:t>
            </w:r>
          </w:p>
        </w:tc>
        <w:tc>
          <w:tcPr>
            <w:tcW w:type="dxa" w:w="175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5 active</w:t>
            </w:r>
          </w:p>
        </w:tc>
        <w:tc>
          <w:tcPr>
            <w:tcW w:type="dxa" w:w="175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68.4%</w:t>
            </w:r>
          </w:p>
        </w:tc>
        <w:tc>
          <w:tcPr>
            <w:tcW w:type="dxa" w:w="1758"/>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 +49.2%</w:t>
            </w:r>
          </w:p>
        </w:tc>
      </w:tr>
    </w:tbl>
    <w:p>
      <w:pPr>
        <w:spacing w:after="120" w:before="0"/>
      </w:pPr>
    </w:p>
    <w:p>
      <w:pPr>
        <w:spacing w:after="120" w:before="80"/>
        <w:jc w:val="both"/>
      </w:pPr>
      <w:r>
        <w:rPr>
          <w:rFonts w:ascii="Calibri" w:cs="Calibri" w:eastAsia="Calibri" w:hAnsi="Calibri"/>
          <w:b w:val="false"/>
          <w:bCs w:val="false"/>
          <w:color w:val="1A1A2E"/>
          <w:sz w:val="22"/>
          <w:szCs w:val="22"/>
        </w:rPr>
        <w:t xml:space="preserve">South Africa continued to exceed expectations. Three new enterprise clients were contracted in Q1: Absa Bank (AI-powered KYC document verification), Old Mutual (insurance underwriting risk intelligence), and a Tier 2 digital lender (undisclosed at their request). The South Africa entity now has five active enterprise clients and a pipeline of USD 3.3M, largely concentrated in financial services and insurance.</w:t>
      </w:r>
    </w:p>
    <w:p>
      <w:pPr>
        <w:spacing w:after="80" w:before="0"/>
      </w:pPr>
    </w:p>
    <w:p>
      <w:pPr>
        <w:spacing w:after="120" w:before="80"/>
        <w:jc w:val="both"/>
      </w:pPr>
      <w:r>
        <w:rPr>
          <w:rFonts w:ascii="Calibri" w:cs="Calibri" w:eastAsia="Calibri" w:hAnsi="Calibri"/>
          <w:b w:val="false"/>
          <w:bCs w:val="false"/>
          <w:color w:val="1A1A2E"/>
          <w:sz w:val="22"/>
          <w:szCs w:val="22"/>
        </w:rPr>
        <w:t xml:space="preserve">The South Africa gross margin of 68.4% exceeds the Kenya margin of 61.8%. This is attributable to the higher subscription revenue mix in South Africa (67% of SA revenue is recurring vs 42% in Kenya), and the fact that our South Africa delivery team is primarily the Nairobi-based engineering team billing cross-border — keeping headcount costs in KES while billing in USD/ZAR at a strong rate.</w:t>
      </w:r>
    </w:p>
    <w:p>
      <w:pPr>
        <w:spacing w:after="80" w:before="0"/>
      </w:pPr>
    </w:p>
    <w:p>
      <w:pPr>
        <w:spacing w:after="120" w:before="80"/>
        <w:jc w:val="both"/>
      </w:pPr>
      <w:r>
        <w:rPr>
          <w:rFonts w:ascii="Calibri" w:cs="Calibri" w:eastAsia="Calibri" w:hAnsi="Calibri"/>
          <w:b w:val="false"/>
          <w:bCs w:val="false"/>
          <w:color w:val="1A1A2E"/>
          <w:sz w:val="22"/>
          <w:szCs w:val="22"/>
        </w:rPr>
        <w:t xml:space="preserve">Management priorities for Q2 — South Africa:</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Register Lemasy South Africa (Pty) Ltd formally in Johannesburg — incorporation in progress, expected completion April 2025. This is a governance priority.</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Hire a South Africa Country Manager — the Johannesburg market now warrants dedicated leadership. JD approved; search launched.</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Progress the FirstRand Group pipeline conversation (USD 0.9M potential — largest single opportunity in company history).</w:t>
      </w:r>
    </w:p>
    <w:p>
      <w:pPr>
        <w:spacing w:after="160" w:before="0"/>
      </w:pPr>
    </w:p>
    <w:p>
      <w:pPr>
        <w:pStyle w:val="Heading1"/>
        <w:spacing w:after="140" w:before="400"/>
      </w:pPr>
      <w:r>
        <w:rPr>
          <w:rFonts w:ascii="Calibri" w:cs="Calibri" w:eastAsia="Calibri" w:hAnsi="Calibri"/>
          <w:b/>
          <w:bCs/>
          <w:color w:val="0D1B2A"/>
          <w:sz w:val="30"/>
          <w:szCs w:val="30"/>
        </w:rPr>
        <w:t xml:space="preserve">4.  Product &amp; Technology Update</w:t>
      </w:r>
    </w:p>
    <w:p>
      <w:pPr>
        <w:pStyle w:val="Heading2"/>
        <w:spacing w:after="100" w:before="280"/>
      </w:pPr>
      <w:r>
        <w:rPr>
          <w:rFonts w:ascii="Calibri" w:cs="Calibri" w:eastAsia="Calibri" w:hAnsi="Calibri"/>
          <w:b/>
          <w:bCs/>
          <w:color w:val="1E3A5F"/>
          <w:sz w:val="24"/>
          <w:szCs w:val="24"/>
        </w:rPr>
        <w:t xml:space="preserve">4.1  Cortex Intelligence Layer v2.1</w:t>
      </w:r>
    </w:p>
    <w:p>
      <w:pPr>
        <w:spacing w:after="120" w:before="80"/>
        <w:jc w:val="both"/>
      </w:pPr>
      <w:r>
        <w:rPr>
          <w:rFonts w:ascii="Calibri" w:cs="Calibri" w:eastAsia="Calibri" w:hAnsi="Calibri"/>
          <w:b w:val="false"/>
          <w:bCs w:val="false"/>
          <w:color w:val="1A1A2E"/>
          <w:sz w:val="22"/>
          <w:szCs w:val="22"/>
        </w:rPr>
        <w:t xml:space="preserve">The release of Cortex v2.1 in February 2025 was the most technically significant product event in Lemasy's history. Key capabilities delivered:</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Real-Time Data Ingestion: External API connectors now support live data feeds from 14 African financial data sources, enabling real-time credit decisions rather than batch processing.</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Explainability Dashboards: Regulators across Kenya and South Africa are requiring model explainability for AI-driven credit and KYC decisions. The new dashboards provide a human-readable explanation of each model output — a critical compliance feature that differentiated us in the Absa Bank procurement.</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Latency Reduction: Model inference latency reduced from 1,840ms to 1,080ms average — a 41% improvement. This matters significantly for real-time KYC verification use cases.</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Platform Uptime: 99.81% uptime in Q1 against a contractual SLA of 99.5%.</w:t>
      </w:r>
    </w:p>
    <w:p>
      <w:pPr>
        <w:spacing w:after="80" w:before="0"/>
      </w:pPr>
    </w:p>
    <w:p>
      <w:pPr>
        <w:pStyle w:val="Heading2"/>
        <w:spacing w:after="100" w:before="280"/>
      </w:pPr>
      <w:r>
        <w:rPr>
          <w:rFonts w:ascii="Calibri" w:cs="Calibri" w:eastAsia="Calibri" w:hAnsi="Calibri"/>
          <w:b/>
          <w:bCs/>
          <w:color w:val="1E3A5F"/>
          <w:sz w:val="24"/>
          <w:szCs w:val="24"/>
        </w:rPr>
        <w:t xml:space="preserve">4.2  Product Roadmap — Q2 2025 Priorities</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Cortex v2.2 (June 2025): Multimodal document processing — enabling AI-driven analysis of unstructured documents (scanned IDs, bank statements, contracts) as inputs to intelligence workflows.</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Lemasy Insights API: A lightweight developer API enabling clients to embed Lemasy's AI models directly in their own applications. This is a strategic move toward a platform model and is expected to open a new mid-market customer segment.</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ISO 27001 Certification: Certification audit scheduled for May 2025. Achievement will be a significant commercial unlocking factor, particularly for regulated financial services clients in South Africa.</w:t>
      </w:r>
    </w:p>
    <w:p>
      <w:pPr>
        <w:spacing w:after="160" w:before="0"/>
      </w:pPr>
    </w:p>
    <w:p>
      <w:pPr>
        <w:pStyle w:val="Heading1"/>
        <w:spacing w:after="140" w:before="400"/>
      </w:pPr>
      <w:r>
        <w:rPr>
          <w:rFonts w:ascii="Calibri" w:cs="Calibri" w:eastAsia="Calibri" w:hAnsi="Calibri"/>
          <w:b/>
          <w:bCs/>
          <w:color w:val="0D1B2A"/>
          <w:sz w:val="30"/>
          <w:szCs w:val="30"/>
        </w:rPr>
        <w:t xml:space="preserve">5.  People &amp; Talent</w:t>
      </w:r>
    </w:p>
    <w:p>
      <w:pPr>
        <w:spacing w:after="120" w:before="80"/>
        <w:jc w:val="both"/>
      </w:pPr>
      <w:r>
        <w:rPr>
          <w:rFonts w:ascii="Calibri" w:cs="Calibri" w:eastAsia="Calibri" w:hAnsi="Calibri"/>
          <w:b w:val="false"/>
          <w:bCs w:val="false"/>
          <w:color w:val="1A1A2E"/>
          <w:sz w:val="22"/>
          <w:szCs w:val="22"/>
        </w:rPr>
        <w:t xml:space="preserve">Headcount at end of Q1 stands at 87 FTE — 71 in Nairobi and 16 in Johannesburg (mostly sales and client success). We added 12 net FTEs in Q1, ahead of the 8-person plan, driven by accelerated client onboarding requirements.</w:t>
      </w:r>
    </w:p>
    <w:p>
      <w:pPr>
        <w:spacing w:after="80" w:before="0"/>
      </w:pPr>
    </w:p>
    <w:p>
      <w:pPr>
        <w:spacing w:after="120" w:before="80"/>
        <w:jc w:val="both"/>
      </w:pPr>
      <w:r>
        <w:rPr>
          <w:rFonts w:ascii="Calibri" w:cs="Calibri" w:eastAsia="Calibri" w:hAnsi="Calibri"/>
          <w:b w:val="false"/>
          <w:bCs w:val="false"/>
          <w:color w:val="1A1A2E"/>
          <w:sz w:val="22"/>
          <w:szCs w:val="22"/>
        </w:rPr>
        <w:t xml:space="preserve">The attrition challenge is real. We lost 4 employees in Q1 — two senior AI engineers to hyperscaler recruitment, one data scientist to a Series B fintech in Lagos, and one client success manager to a competitor. Annualised attrition is 18.4% against a 15% target. The engineering attrition of 22% annualised is the specific concern.</w:t>
      </w:r>
    </w:p>
    <w:p>
      <w:pPr>
        <w:spacing w:after="80" w:before="0"/>
      </w:pPr>
    </w:p>
    <w:p>
      <w:pPr>
        <w:spacing w:after="120" w:before="80"/>
        <w:jc w:val="both"/>
      </w:pPr>
      <w:r>
        <w:rPr>
          <w:rFonts w:ascii="Calibri" w:cs="Calibri" w:eastAsia="Calibri" w:hAnsi="Calibri"/>
          <w:b w:val="false"/>
          <w:bCs w:val="false"/>
          <w:color w:val="1A1A2E"/>
          <w:sz w:val="22"/>
          <w:szCs w:val="22"/>
        </w:rPr>
        <w:t xml:space="preserve">We have taken the following actions in Q1:</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Compensation Review: A compensation benchmarking exercise was completed in March 2025. Engineering salaries are 14–18% below market for AI roles. A salary uplift of 15% for the engineering function has been proposed and is tabled for board approval at the Q1 board meeting.</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Equity Refresh: Our ESOP pool of 8% (fully diluted) is nearly fully allocated. A top-up of 4% has been proposed and is tabled for board approval. This is critical to retaining and attracting senior talent.</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Employer Brand: We partnered with AfriLabs to sponsor two AI research fellowships at the University of Nairobi, building our academic pipeline.</w:t>
      </w:r>
    </w:p>
    <w:p>
      <w:pPr>
        <w:spacing w:after="160" w:before="0"/>
      </w:pPr>
    </w:p>
    <w:p>
      <w:pPr>
        <w:pStyle w:val="Heading1"/>
        <w:spacing w:after="140" w:before="400"/>
      </w:pPr>
      <w:r>
        <w:rPr>
          <w:rFonts w:ascii="Calibri" w:cs="Calibri" w:eastAsia="Calibri" w:hAnsi="Calibri"/>
          <w:b/>
          <w:bCs/>
          <w:color w:val="0D1B2A"/>
          <w:sz w:val="30"/>
          <w:szCs w:val="30"/>
        </w:rPr>
        <w:t xml:space="preserve">6.  CEO's Q2 2025 Priorities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
        <w:gridCol w:w="2400"/>
        <w:gridCol w:w="3686"/>
        <w:gridCol w:w="2400"/>
      </w:tblGrid>
      <w:tr>
        <w:tc>
          <w:tcPr>
            <w:tcW w:type="dxa" w:w="54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w:t>
            </w:r>
          </w:p>
        </w:tc>
        <w:tc>
          <w:tcPr>
            <w:tcW w:type="dxa" w:w="24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Priority</w:t>
            </w:r>
          </w:p>
        </w:tc>
        <w:tc>
          <w:tcPr>
            <w:tcW w:type="dxa" w:w="3686"/>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Actions</w:t>
            </w:r>
          </w:p>
        </w:tc>
        <w:tc>
          <w:tcPr>
            <w:tcW w:type="dxa" w:w="24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Success Metric</w:t>
            </w:r>
          </w:p>
        </w:tc>
      </w:tr>
      <w:tr>
        <w:tc>
          <w:tcPr>
            <w:tcW w:type="dxa" w:w="5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0B4D8"/>
                <w:sz w:val="20"/>
                <w:szCs w:val="20"/>
              </w:rPr>
              <w:t xml:space="preserve">1</w:t>
            </w:r>
          </w:p>
        </w:tc>
        <w:tc>
          <w:tcPr>
            <w:tcW w:type="dxa" w:w="24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D1B2A"/>
                <w:sz w:val="20"/>
                <w:szCs w:val="20"/>
              </w:rPr>
              <w:t xml:space="preserve">Engineering Talent</w:t>
            </w:r>
          </w:p>
        </w:tc>
        <w:tc>
          <w:tcPr>
            <w:tcW w:type="dxa" w:w="368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Hire 5 AI/ML engineers; implement 15% salary uplift; launch Nairobi university engineering programme</w:t>
            </w:r>
          </w:p>
        </w:tc>
        <w:tc>
          <w:tcPr>
            <w:tcW w:type="dxa" w:w="24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 4 open engineering vacancies by 30 Jun</w:t>
            </w:r>
          </w:p>
        </w:tc>
      </w:tr>
      <w:tr>
        <w:tc>
          <w:tcPr>
            <w:tcW w:type="dxa" w:w="54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00B4D8"/>
                <w:sz w:val="20"/>
                <w:szCs w:val="20"/>
              </w:rPr>
              <w:t xml:space="preserve">2</w:t>
            </w:r>
          </w:p>
        </w:tc>
        <w:tc>
          <w:tcPr>
            <w:tcW w:type="dxa" w:w="24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D1B2A"/>
                <w:sz w:val="20"/>
                <w:szCs w:val="20"/>
              </w:rPr>
              <w:t xml:space="preserve">FirstRand Opportunity</w:t>
            </w:r>
          </w:p>
        </w:tc>
        <w:tc>
          <w:tcPr>
            <w:tcW w:type="dxa" w:w="368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CEO to personally lead commercial engagement; technical demo scheduled May 2025</w:t>
            </w:r>
          </w:p>
        </w:tc>
        <w:tc>
          <w:tcPr>
            <w:tcW w:type="dxa" w:w="24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LOI signed or clear next step by Q2 close</w:t>
            </w:r>
          </w:p>
        </w:tc>
      </w:tr>
      <w:tr>
        <w:tc>
          <w:tcPr>
            <w:tcW w:type="dxa" w:w="5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0B4D8"/>
                <w:sz w:val="20"/>
                <w:szCs w:val="20"/>
              </w:rPr>
              <w:t xml:space="preserve">3</w:t>
            </w:r>
          </w:p>
        </w:tc>
        <w:tc>
          <w:tcPr>
            <w:tcW w:type="dxa" w:w="24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D1B2A"/>
                <w:sz w:val="20"/>
                <w:szCs w:val="20"/>
              </w:rPr>
              <w:t xml:space="preserve">SA Legal Entity</w:t>
            </w:r>
          </w:p>
        </w:tc>
        <w:tc>
          <w:tcPr>
            <w:tcW w:type="dxa" w:w="368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Complete Lemasy SA (Pty) Ltd incorporation; appoint Country Manager</w:t>
            </w:r>
          </w:p>
        </w:tc>
        <w:tc>
          <w:tcPr>
            <w:tcW w:type="dxa" w:w="24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Registered entity by April; CM in role by June</w:t>
            </w:r>
          </w:p>
        </w:tc>
      </w:tr>
      <w:tr>
        <w:tc>
          <w:tcPr>
            <w:tcW w:type="dxa" w:w="54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00B4D8"/>
                <w:sz w:val="20"/>
                <w:szCs w:val="20"/>
              </w:rPr>
              <w:t xml:space="preserve">4</w:t>
            </w:r>
          </w:p>
        </w:tc>
        <w:tc>
          <w:tcPr>
            <w:tcW w:type="dxa" w:w="24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D1B2A"/>
                <w:sz w:val="20"/>
                <w:szCs w:val="20"/>
              </w:rPr>
              <w:t xml:space="preserve">ISO 27001 Certification</w:t>
            </w:r>
          </w:p>
        </w:tc>
        <w:tc>
          <w:tcPr>
            <w:tcW w:type="dxa" w:w="368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Pass May 2025 audit; all policy documentation complete by 30 April</w:t>
            </w:r>
          </w:p>
        </w:tc>
        <w:tc>
          <w:tcPr>
            <w:tcW w:type="dxa" w:w="24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Certification achieved Q2 2025</w:t>
            </w:r>
          </w:p>
        </w:tc>
      </w:tr>
      <w:tr>
        <w:tc>
          <w:tcPr>
            <w:tcW w:type="dxa" w:w="5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0B4D8"/>
                <w:sz w:val="20"/>
                <w:szCs w:val="20"/>
              </w:rPr>
              <w:t xml:space="preserve">5</w:t>
            </w:r>
          </w:p>
        </w:tc>
        <w:tc>
          <w:tcPr>
            <w:tcW w:type="dxa" w:w="24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D1B2A"/>
                <w:sz w:val="20"/>
                <w:szCs w:val="20"/>
              </w:rPr>
              <w:t xml:space="preserve">Cortex v2.2 Delivery</w:t>
            </w:r>
          </w:p>
        </w:tc>
        <w:tc>
          <w:tcPr>
            <w:tcW w:type="dxa" w:w="368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On-time delivery of multimodal document processing feature</w:t>
            </w:r>
          </w:p>
        </w:tc>
        <w:tc>
          <w:tcPr>
            <w:tcW w:type="dxa" w:w="24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Client release by 30 June; 3 pilots committed</w:t>
            </w:r>
          </w:p>
        </w:tc>
      </w:tr>
    </w:tbl>
    <w:p>
      <w:pPr>
        <w:spacing w:after="160" w:before="0"/>
      </w:pPr>
    </w:p>
    <w:p>
      <w:pPr>
        <w:pStyle w:val="Heading1"/>
        <w:spacing w:after="140" w:before="400"/>
      </w:pPr>
      <w:r>
        <w:rPr>
          <w:rFonts w:ascii="Calibri" w:cs="Calibri" w:eastAsia="Calibri" w:hAnsi="Calibri"/>
          <w:b/>
          <w:bCs/>
          <w:color w:val="0D1B2A"/>
          <w:sz w:val="30"/>
          <w:szCs w:val="30"/>
        </w:rPr>
        <w:t xml:space="preserve">7.  CEO's Commitments to the Board</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Engineering Salary Uplift (15%) and ESOP Top-Up (4%): Tabled for board approval at Q1 board meeting.</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South Africa Incorporation: Lemasy SA (Pty) Ltd to be incorporated by 30 April 2025.</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ISO 27001 Certification: Audit in May 2025; outcome to be reported to board by 30 June 2025.</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FirstRand Update: CEO to provide written update to board by 15 May 2025 on status of engagement.</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ESOP Register: Company Secretary to circulate updated fully-diluted cap table following any ESOP top-up for board approval.</w:t>
      </w:r>
    </w:p>
    <w:p>
      <w:pPr>
        <w:spacing w:after="200" w:before="0"/>
      </w:pPr>
    </w:p>
    <w:p>
      <w:pPr>
        <w:pBdr>
          <w:bottom w:val="single" w:color="7B8FA6" w:sz="4" w:space="1"/>
        </w:pBdr>
        <w:spacing w:after="0"/>
      </w:pPr>
    </w:p>
    <w:p>
      <w:pPr>
        <w:spacing w:after="80" w:before="0"/>
      </w:pPr>
    </w:p>
    <w:p>
      <w:pPr>
        <w:spacing w:after="120" w:before="80"/>
        <w:jc w:val="both"/>
      </w:pPr>
      <w:r>
        <w:rPr>
          <w:rFonts w:ascii="Calibri" w:cs="Calibri" w:eastAsia="Calibri" w:hAnsi="Calibri"/>
          <w:b w:val="false"/>
          <w:bCs w:val="false"/>
          <w:color w:val="7B8FA6"/>
          <w:sz w:val="18"/>
          <w:szCs w:val="18"/>
        </w:rPr>
        <w:t xml:space="preserve">This report has been prepared for the exclusive use of the Board of Directors of Lemasy Limited. The information herein includes proprietary commercial data, client information, and strategic plans. Any reproduction or disclosure to any third party without prior written consent of the CEO is strictly prohibited.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B4D8" w:sz="4" w:space="1"/>
      </w:pBdr>
      <w:tabs>
        <w:tab w:val="right" w:pos="9026"/>
      </w:tabs>
      <w:spacing w:before="80"/>
    </w:pPr>
    <w:r>
      <w:rPr>
        <w:rFonts w:ascii="Calibri" w:cs="Calibri" w:eastAsia="Calibri" w:hAnsi="Calibri"/>
        <w:color w:val="7B8FA6"/>
        <w:sz w:val="16"/>
        <w:szCs w:val="16"/>
      </w:rPr>
      <w:t xml:space="preserve">STRICTLY CONFIDENTIAL  |  For Board Use Only</w:t>
    </w:r>
    <w:r>
      <w:rPr>
        <w:rFonts w:ascii="Calibri" w:cs="Calibri" w:eastAsia="Calibri" w:hAnsi="Calibri"/>
        <w:sz w:val="16"/>
        <w:szCs w:val="16"/>
      </w:rPr>
      <w:t xml:space="preserve">	</w:t>
    </w:r>
    <w:r>
      <w:rPr>
        <w:rFonts w:ascii="Calibri" w:cs="Calibri" w:eastAsia="Calibri" w:hAnsi="Calibri"/>
        <w:color w:val="7B8FA6"/>
        <w:sz w:val="16"/>
        <w:szCs w:val="16"/>
      </w:rPr>
      <w:t xml:space="preserve">Page </w:t>
    </w:r>
    <w:r>
      <w:rPr>
        <w:rFonts w:ascii="Calibri" w:cs="Calibri" w:eastAsia="Calibri" w:hAnsi="Calibri"/>
        <w:color w:val="7B8F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4" w:space="1"/>
      </w:pBdr>
      <w:tabs>
        <w:tab w:val="right" w:pos="9026"/>
      </w:tabs>
      <w:spacing w:after="80"/>
    </w:pPr>
    <w:r>
      <w:rPr>
        <w:rFonts w:ascii="Calibri" w:cs="Calibri" w:eastAsia="Calibri" w:hAnsi="Calibri"/>
        <w:color w:val="7B8FA6"/>
        <w:sz w:val="17"/>
        <w:szCs w:val="17"/>
      </w:rPr>
      <w:t xml:space="preserve">Lemasy — Chief Executive Officer's Report</w:t>
    </w:r>
    <w:r>
      <w:rPr>
        <w:rFonts w:ascii="Calibri" w:cs="Calibri" w:eastAsia="Calibri" w:hAnsi="Calibri"/>
        <w:sz w:val="17"/>
        <w:szCs w:val="17"/>
      </w:rPr>
      <w:t xml:space="preserve">	</w:t>
    </w:r>
    <w:r>
      <w:rPr>
        <w:rFonts w:ascii="Calibri" w:cs="Calibri" w:eastAsia="Calibri" w:hAnsi="Calibri"/>
        <w:color w:val="7B8FA6"/>
        <w:sz w:val="17"/>
        <w:szCs w:val="17"/>
      </w:rPr>
      <w:t xml:space="preserve">Q1 2025  |  January – March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0D1B2A"/>
      <w:sz w:val="30"/>
      <w:szCs w:val="30"/>
    </w:rPr>
  </w:style>
  <w:style w:type="paragraph" w:styleId="Heading2">
    <w:name w:val="Heading 2"/>
    <w:basedOn w:val="Normal"/>
    <w:next w:val="Normal"/>
    <w:qFormat/>
    <w:pPr>
      <w:spacing w:after="100" w:before="280"/>
      <w:outlineLvl w:val="1"/>
    </w:pPr>
    <w:rPr>
      <w:rFonts w:ascii="Calibri" w:cs="Calibri" w:eastAsia="Calibri" w:hAnsi="Calibri"/>
      <w:b/>
      <w:bCs/>
      <w:color w:val="1E3A5F"/>
      <w:sz w:val="24"/>
      <w:szCs w:val="24"/>
    </w:rPr>
  </w:style>
  <w:style w:type="paragraph" w:styleId="Heading3">
    <w:name w:val="Heading 3"/>
    <w:basedOn w:val="Normal"/>
    <w:next w:val="Normal"/>
    <w:qFormat/>
    <w:pPr>
      <w:spacing w:after="80" w:before="200"/>
      <w:outlineLvl w:val="2"/>
    </w:pPr>
    <w:rPr>
      <w:rFonts w:ascii="Calibri" w:cs="Calibri" w:eastAsia="Calibri" w:hAnsi="Calibri"/>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2026-05-01T08:34:31.659Z</dcterms:created>
  <dcterms:modified xsi:type="dcterms:W3CDTF">2026-05-01T08:34:31.660Z</dcterms:modified>
</cp:coreProperties>
</file>

<file path=docProps/custom.xml><?xml version="1.0" encoding="utf-8"?>
<Properties xmlns="http://schemas.openxmlformats.org/officeDocument/2006/custom-properties" xmlns:vt="http://schemas.openxmlformats.org/officeDocument/2006/docPropsVTypes"/>
</file>