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40"/>
            </w:pPr>
            <w:r>
              <w:rPr>
                <w:rFonts w:ascii="Calibri" w:cs="Calibri" w:eastAsia="Calibri" w:hAnsi="Calibri"/>
                <w:b/>
                <w:bCs/>
                <w:color w:val="0D1B2A"/>
                <w:sz w:val="52"/>
                <w:szCs w:val="52"/>
              </w:rPr>
              <w:t xml:space="preserve">LEMASY</w:t>
            </w:r>
          </w:p>
          <w:p>
            <w:pPr>
              <w:spacing w:after="40"/>
            </w:pPr>
            <w:r>
              <w:rPr>
                <w:rFonts w:ascii="Calibri" w:cs="Calibri" w:eastAsia="Calibri" w:hAnsi="Calibri"/>
                <w:color w:val="00B4D8"/>
                <w:sz w:val="22"/>
                <w:szCs w:val="22"/>
              </w:rPr>
              <w:t xml:space="preserve">AI Intelligence Solutions</w:t>
            </w:r>
          </w:p>
          <w:p>
            <w:pPr>
              <w:spacing w:after="40"/>
            </w:pPr>
            <w:r>
              <w:rPr>
                <w:rFonts w:ascii="Calibri" w:cs="Calibri" w:eastAsia="Calibri" w:hAnsi="Calibri"/>
                <w:color w:val="7B8FA6"/>
                <w:sz w:val="18"/>
                <w:szCs w:val="18"/>
              </w:rPr>
              <w:t xml:space="preserve">Nairobi, Kenya  |  Johannesburg, South Africa</w:t>
            </w:r>
          </w:p>
        </w:tc>
        <w:tc>
          <w:tcPr>
            <w:tcW w:type="dxa" w:w="3426"/>
            <w:tcBorders>
              <w:top w:val="none" w:color="FFFFFF" w:sz="0"/>
              <w:left w:val="none" w:color="FFFFFF" w:sz="0"/>
              <w:bottom w:val="none" w:color="FFFFFF" w:sz="0"/>
              <w:right w:val="none" w:color="FFFFFF" w:sz="0"/>
            </w:tcBorders>
            <w:tcMar>
              <w:top w:type="dxa" w:w="0"/>
              <w:left w:type="dxa" w:w="200"/>
              <w:bottom w:type="dxa" w:w="0"/>
              <w:right w:type="dxa" w:w="0"/>
            </w:tcMar>
            <w:vAlign w:val="bottom"/>
          </w:tcPr>
          <w:p>
            <w:pPr>
              <w:jc w:val="right"/>
            </w:pPr>
            <w:r>
              <w:rPr>
                <w:rFonts w:ascii="Calibri" w:cs="Calibri" w:eastAsia="Calibri" w:hAnsi="Calibri"/>
                <w:b/>
                <w:bCs/>
                <w:color w:val="00B4D8"/>
                <w:sz w:val="17"/>
                <w:szCs w:val="17"/>
              </w:rPr>
              <w:t xml:space="preserve">CUSTOMER &amp; MARKET INTELLIGENCE REPORT — Q1 2025</w:t>
            </w:r>
          </w:p>
          <w:p>
            <w:pPr>
              <w:spacing w:before="40"/>
              <w:jc w:val="right"/>
            </w:pPr>
            <w:r>
              <w:rPr>
                <w:rFonts w:ascii="Calibri" w:cs="Calibri" w:eastAsia="Calibri" w:hAnsi="Calibri"/>
                <w:color w:val="7B8FA6"/>
                <w:sz w:val="16"/>
                <w:szCs w:val="16"/>
              </w:rPr>
              <w:t xml:space="preserve">Q1 2025  |  28 March 2025</w:t>
            </w:r>
          </w:p>
        </w:tc>
      </w:tr>
    </w:tbl>
    <w:p>
      <w:pPr>
        <w:pBdr>
          <w:bottom w:val="single" w:color="00B4D8" w:sz="8" w:space="1"/>
        </w:pBdr>
        <w:spacing w:after="0"/>
      </w:pPr>
    </w:p>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Prepared by</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Mr. Taiwo Adebisi</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Role</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Chief Commercial Officer</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Period</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Q1 2025 2025  |  January – March 2025</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Submitted to</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Lemasy Board of Directors</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Date</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28 March 2025</w:t>
            </w:r>
          </w:p>
        </w:tc>
      </w:tr>
    </w:tbl>
    <w:p>
      <w:pPr>
        <w:spacing w:after="200" w:before="0"/>
      </w:pPr>
    </w:p>
    <w:p>
      <w:pPr>
        <w:pStyle w:val="Heading1"/>
        <w:spacing w:after="140" w:before="400"/>
      </w:pPr>
      <w:r>
        <w:rPr>
          <w:rFonts w:ascii="Calibri" w:cs="Calibri" w:eastAsia="Calibri" w:hAnsi="Calibri"/>
          <w:b/>
          <w:bCs/>
          <w:color w:val="0D1B2A"/>
          <w:sz w:val="30"/>
          <w:szCs w:val="30"/>
        </w:rPr>
        <w:t xml:space="preserve">1.  Customer Performance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926"/>
      </w:tblGrid>
      <w:tr>
        <w:tc>
          <w:tcPr>
            <w:tcW w:type="dxa" w:w="35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Metric</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Q1 2025</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Target / Budget</w:t>
            </w:r>
          </w:p>
        </w:tc>
        <w:tc>
          <w:tcPr>
            <w:tcW w:type="dxa" w:w="19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Status</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Total Active Clients</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14</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12 target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Above</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Enterprise Clients (&gt; USD 200K ARR)</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6</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5 target</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Above</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New Logos — Q1 2025</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3</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2 target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Above</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Client NPS</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62</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55 target</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Above</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Net Revenue Retention (NRR)</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118%</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110% target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Above</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Gross Revenue Retention (GRR)</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100%</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95% target</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Green — 0% churn</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Average Contract Value (ACV)</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343,000</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300,000 target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Above</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Expansion Revenue — Q1</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260,000</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KCB Group upsell</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Pipeline (Qualified — Weighted)</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6.4M</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5.0M target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Above</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Sales Cycle (Average — Enterprise)</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87 days</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90 days target</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On Track</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Win Rate (Qualified Opportunities)</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44%</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40% target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Above</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Lost Deals — Q1</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2</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Lost to internal build (1) and McKinsey Solutions (1)</w:t>
            </w:r>
          </w:p>
        </w:tc>
      </w:tr>
    </w:tbl>
    <w:p>
      <w:pPr>
        <w:spacing w:after="140" w:before="0"/>
      </w:pPr>
    </w:p>
    <w:p>
      <w:pPr>
        <w:pStyle w:val="Heading1"/>
        <w:spacing w:after="140" w:before="400"/>
      </w:pPr>
      <w:r>
        <w:rPr>
          <w:rFonts w:ascii="Calibri" w:cs="Calibri" w:eastAsia="Calibri" w:hAnsi="Calibri"/>
          <w:b/>
          <w:bCs/>
          <w:color w:val="0D1B2A"/>
          <w:sz w:val="30"/>
          <w:szCs w:val="30"/>
        </w:rPr>
        <w:t xml:space="preserve">2.  Client Portfolio Analysis</w:t>
      </w:r>
    </w:p>
    <w:p>
      <w:pPr>
        <w:pStyle w:val="Heading2"/>
        <w:spacing w:after="100" w:before="280"/>
      </w:pPr>
      <w:r>
        <w:rPr>
          <w:rFonts w:ascii="Calibri" w:cs="Calibri" w:eastAsia="Calibri" w:hAnsi="Calibri"/>
          <w:b/>
          <w:bCs/>
          <w:color w:val="1E3A5F"/>
          <w:sz w:val="24"/>
          <w:szCs w:val="24"/>
        </w:rPr>
        <w:t xml:space="preserve">2.1  Revenue by Sector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200"/>
        <w:gridCol w:w="2626"/>
      </w:tblGrid>
      <w:tr>
        <w:tc>
          <w:tcPr>
            <w:tcW w:type="dxa" w:w="24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Sector</w:t>
            </w:r>
          </w:p>
        </w:tc>
        <w:tc>
          <w:tcPr>
            <w:tcW w:type="dxa" w:w="14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Q1 Revenue</w:t>
            </w:r>
          </w:p>
        </w:tc>
        <w:tc>
          <w:tcPr>
            <w:tcW w:type="dxa" w:w="14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 of Total</w:t>
            </w:r>
          </w:p>
        </w:tc>
        <w:tc>
          <w:tcPr>
            <w:tcW w:type="dxa" w:w="12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Clients</w:t>
            </w:r>
          </w:p>
        </w:tc>
        <w:tc>
          <w:tcPr>
            <w:tcW w:type="dxa" w:w="26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Key Use Cases</w:t>
            </w:r>
          </w:p>
        </w:tc>
      </w:tr>
      <w:tr>
        <w:tc>
          <w:tcPr>
            <w:tcW w:type="dxa" w:w="2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Banking</w:t>
            </w:r>
          </w:p>
        </w:tc>
        <w:tc>
          <w:tcPr>
            <w:tcW w:type="dxa" w:w="1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0.98M</w:t>
            </w:r>
          </w:p>
        </w:tc>
        <w:tc>
          <w:tcPr>
            <w:tcW w:type="dxa" w:w="1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45.8%</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5</w:t>
            </w:r>
          </w:p>
        </w:tc>
        <w:tc>
          <w:tcPr>
            <w:tcW w:type="dxa" w:w="26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Credit scoring, KYC, AML, fraud detection</w:t>
            </w:r>
          </w:p>
        </w:tc>
      </w:tr>
      <w:tr>
        <w:tc>
          <w:tcPr>
            <w:tcW w:type="dxa" w:w="2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Insurance</w:t>
            </w:r>
          </w:p>
        </w:tc>
        <w:tc>
          <w:tcPr>
            <w:tcW w:type="dxa" w:w="1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0.48M</w:t>
            </w:r>
          </w:p>
        </w:tc>
        <w:tc>
          <w:tcPr>
            <w:tcW w:type="dxa" w:w="1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22.4%</w:t>
            </w:r>
          </w:p>
        </w:tc>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3</w:t>
            </w:r>
          </w:p>
        </w:tc>
        <w:tc>
          <w:tcPr>
            <w:tcW w:type="dxa" w:w="26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Underwriting risk, claims intelligence</w:t>
            </w:r>
          </w:p>
        </w:tc>
      </w:tr>
      <w:tr>
        <w:tc>
          <w:tcPr>
            <w:tcW w:type="dxa" w:w="2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Telecoms</w:t>
            </w:r>
          </w:p>
        </w:tc>
        <w:tc>
          <w:tcPr>
            <w:tcW w:type="dxa" w:w="1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0.42M</w:t>
            </w:r>
          </w:p>
        </w:tc>
        <w:tc>
          <w:tcPr>
            <w:tcW w:type="dxa" w:w="14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19.6%</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3</w:t>
            </w:r>
          </w:p>
        </w:tc>
        <w:tc>
          <w:tcPr>
            <w:tcW w:type="dxa" w:w="26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Churn prediction, revenue assurance</w:t>
            </w:r>
          </w:p>
        </w:tc>
      </w:tr>
      <w:tr>
        <w:tc>
          <w:tcPr>
            <w:tcW w:type="dxa" w:w="2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Fintech / Digital Lending</w:t>
            </w:r>
          </w:p>
        </w:tc>
        <w:tc>
          <w:tcPr>
            <w:tcW w:type="dxa" w:w="1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0.26M</w:t>
            </w:r>
          </w:p>
        </w:tc>
        <w:tc>
          <w:tcPr>
            <w:tcW w:type="dxa" w:w="1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12.1%</w:t>
            </w:r>
          </w:p>
        </w:tc>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3</w:t>
            </w:r>
          </w:p>
        </w:tc>
        <w:tc>
          <w:tcPr>
            <w:tcW w:type="dxa" w:w="26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Credit decisioning, fraud screening</w:t>
            </w:r>
          </w:p>
        </w:tc>
      </w:tr>
    </w:tbl>
    <w:p>
      <w:pPr>
        <w:spacing w:after="100" w:before="0"/>
      </w:pPr>
    </w:p>
    <w:p>
      <w:pPr>
        <w:spacing w:after="120" w:before="80"/>
        <w:jc w:val="both"/>
      </w:pPr>
      <w:r>
        <w:rPr>
          <w:rFonts w:ascii="Calibri" w:cs="Calibri" w:eastAsia="Calibri" w:hAnsi="Calibri"/>
          <w:b w:val="false"/>
          <w:bCs w:val="false"/>
          <w:color w:val="7B8FA6"/>
          <w:sz w:val="22"/>
          <w:szCs w:val="22"/>
        </w:rPr>
        <w:t xml:space="preserve">Banking and insurance together represent 68% of revenue. While this reflects strong positioning in the most data-rich and regulation-driven sectors, the board should note that both sectors are subject to increasing AI regulatory scrutiny in Kenya and South Africa — a tailwind (compliance demand) and a risk (implementation friction) simultaneously.</w:t>
      </w:r>
    </w:p>
    <w:p>
      <w:pPr>
        <w:spacing w:after="140" w:before="0"/>
      </w:pPr>
    </w:p>
    <w:p>
      <w:pPr>
        <w:pStyle w:val="Heading2"/>
        <w:spacing w:after="100" w:before="280"/>
      </w:pPr>
      <w:r>
        <w:rPr>
          <w:rFonts w:ascii="Calibri" w:cs="Calibri" w:eastAsia="Calibri" w:hAnsi="Calibri"/>
          <w:b/>
          <w:bCs/>
          <w:color w:val="1E3A5F"/>
          <w:sz w:val="24"/>
          <w:szCs w:val="24"/>
        </w:rPr>
        <w:t xml:space="preserve">2.2  Client Health Scorecard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4400"/>
        <w:gridCol w:w="1800"/>
        <w:gridCol w:w="1486"/>
      </w:tblGrid>
      <w:tr>
        <w:tc>
          <w:tcPr>
            <w:tcW w:type="dxa" w:w="54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Ref</w:t>
            </w:r>
          </w:p>
        </w:tc>
        <w:tc>
          <w:tcPr>
            <w:tcW w:type="dxa" w:w="44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Description / Finding</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Owner</w:t>
            </w:r>
          </w:p>
        </w:tc>
        <w:tc>
          <w:tcPr>
            <w:tcW w:type="dxa" w:w="148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Status</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Equity Bank KE</w:t>
            </w:r>
          </w:p>
        </w:tc>
        <w:tc>
          <w:tcPr>
            <w:tcW w:type="dxa" w:w="44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Flagship client — 16% of revenue. Phase 2 SOW in delivery. Exec sponsor engaged. NPS: 78.</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Delivery Lead</w:t>
            </w:r>
          </w:p>
        </w:tc>
        <w:tc>
          <w:tcPr>
            <w:tcW w:type="dxa" w:w="148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D4891A"/>
                <w:sz w:val="20"/>
                <w:szCs w:val="20"/>
              </w:rPr>
              <w:t xml:space="preserve">Healthy — Expand</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KCB Group KE</w:t>
            </w:r>
          </w:p>
        </w:tc>
        <w:tc>
          <w:tcPr>
            <w:tcW w:type="dxa" w:w="4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Upsell executed Q1 (fraud detection). Contract value up 38%. CEO relationship strong.</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CCO</w:t>
            </w:r>
          </w:p>
        </w:tc>
        <w:tc>
          <w:tcPr>
            <w:tcW w:type="dxa" w:w="148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D4891A"/>
                <w:sz w:val="20"/>
                <w:szCs w:val="20"/>
              </w:rPr>
              <w:t xml:space="preserve">Healthy — Expand</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Safaricom KE</w:t>
            </w:r>
          </w:p>
        </w:tc>
        <w:tc>
          <w:tcPr>
            <w:tcW w:type="dxa" w:w="44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New project — churn prediction. Phase 1 milestone delivered. Client very satisfied. NPS: 72.</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Delivery Lead</w:t>
            </w:r>
          </w:p>
        </w:tc>
        <w:tc>
          <w:tcPr>
            <w:tcW w:type="dxa" w:w="148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D4891A"/>
                <w:sz w:val="20"/>
                <w:szCs w:val="20"/>
              </w:rPr>
              <w:t xml:space="preserve">Healthy — New</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Absa Bank SA</w:t>
            </w:r>
          </w:p>
        </w:tc>
        <w:tc>
          <w:tcPr>
            <w:tcW w:type="dxa" w:w="4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New in Q1. Onboarding in progress. KYC use case aligned with CBK explainability needs.</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SA Client Success</w:t>
            </w:r>
          </w:p>
        </w:tc>
        <w:tc>
          <w:tcPr>
            <w:tcW w:type="dxa" w:w="148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D4891A"/>
                <w:sz w:val="20"/>
                <w:szCs w:val="20"/>
              </w:rPr>
              <w:t xml:space="preserve">Healthy — New</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Old Mutual SA</w:t>
            </w:r>
          </w:p>
        </w:tc>
        <w:tc>
          <w:tcPr>
            <w:tcW w:type="dxa" w:w="44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New in Q1. Underwriting risk intelligence — strong exec sponsor. Decision maker is CIO.</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SA Client Success</w:t>
            </w:r>
          </w:p>
        </w:tc>
        <w:tc>
          <w:tcPr>
            <w:tcW w:type="dxa" w:w="148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D4891A"/>
                <w:sz w:val="20"/>
                <w:szCs w:val="20"/>
              </w:rPr>
              <w:t xml:space="preserve">Healthy — New</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Digital Lender SA</w:t>
            </w:r>
          </w:p>
        </w:tc>
        <w:tc>
          <w:tcPr>
            <w:tcW w:type="dxa" w:w="4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New in Q1. Smaller ACV (USD 180K). Some delivery friction on data sharing protocols.</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Delivery Lead</w:t>
            </w:r>
          </w:p>
        </w:tc>
        <w:tc>
          <w:tcPr>
            <w:tcW w:type="dxa" w:w="148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D4891A"/>
                <w:sz w:val="20"/>
                <w:szCs w:val="20"/>
              </w:rPr>
              <w:t xml:space="preserve">Monitor — Risk</w:t>
            </w:r>
          </w:p>
        </w:tc>
      </w:tr>
    </w:tbl>
    <w:p>
      <w:pPr>
        <w:spacing w:after="80" w:before="0"/>
      </w:pPr>
    </w:p>
    <w:p>
      <w:pPr>
        <w:spacing w:after="120" w:before="80"/>
        <w:jc w:val="both"/>
      </w:pPr>
      <w:r>
        <w:rPr>
          <w:rFonts w:ascii="Calibri" w:cs="Calibri" w:eastAsia="Calibri" w:hAnsi="Calibri"/>
          <w:b w:val="false"/>
          <w:bCs w:val="false"/>
          <w:color w:val="7B8FA6"/>
          <w:sz w:val="22"/>
          <w:szCs w:val="22"/>
        </w:rPr>
        <w:t xml:space="preserve">The Digital Lender SA relationship requires management attention — their data governance processes are immature, which is creating friction in the model training pipeline. The delivery lead has escalated to the CCO. A working session with their CTO is scheduled for April.</w:t>
      </w:r>
    </w:p>
    <w:p>
      <w:pPr>
        <w:spacing w:after="140" w:before="0"/>
      </w:pPr>
    </w:p>
    <w:p>
      <w:pPr>
        <w:pStyle w:val="Heading1"/>
        <w:spacing w:after="140" w:before="400"/>
      </w:pPr>
      <w:r>
        <w:rPr>
          <w:rFonts w:ascii="Calibri" w:cs="Calibri" w:eastAsia="Calibri" w:hAnsi="Calibri"/>
          <w:b/>
          <w:bCs/>
          <w:color w:val="0D1B2A"/>
          <w:sz w:val="30"/>
          <w:szCs w:val="30"/>
        </w:rPr>
        <w:t xml:space="preserve">3.  Pipeline &amp; Commercial Outlook</w:t>
      </w:r>
    </w:p>
    <w:p>
      <w:pPr>
        <w:pStyle w:val="Heading2"/>
        <w:spacing w:after="100" w:before="280"/>
      </w:pPr>
      <w:r>
        <w:rPr>
          <w:rFonts w:ascii="Calibri" w:cs="Calibri" w:eastAsia="Calibri" w:hAnsi="Calibri"/>
          <w:b/>
          <w:bCs/>
          <w:color w:val="1E3A5F"/>
          <w:sz w:val="24"/>
          <w:szCs w:val="24"/>
        </w:rPr>
        <w:t xml:space="preserve">3.1  Q2 2025 Priority Opportunities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200"/>
        <w:gridCol w:w="2826"/>
      </w:tblGrid>
      <w:tr>
        <w:tc>
          <w:tcPr>
            <w:tcW w:type="dxa" w:w="22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Opportunity</w:t>
            </w:r>
          </w:p>
        </w:tc>
        <w:tc>
          <w:tcPr>
            <w:tcW w:type="dxa" w:w="16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Est. Value</w:t>
            </w:r>
          </w:p>
        </w:tc>
        <w:tc>
          <w:tcPr>
            <w:tcW w:type="dxa" w:w="12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Stage</w:t>
            </w:r>
          </w:p>
        </w:tc>
        <w:tc>
          <w:tcPr>
            <w:tcW w:type="dxa" w:w="12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Close (Est.)</w:t>
            </w:r>
          </w:p>
        </w:tc>
        <w:tc>
          <w:tcPr>
            <w:tcW w:type="dxa" w:w="28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Note</w:t>
            </w:r>
          </w:p>
        </w:tc>
      </w:tr>
      <w:tr>
        <w:tc>
          <w:tcPr>
            <w:tcW w:type="dxa" w:w="2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FirstRand Group SA — AML Platform</w:t>
            </w:r>
          </w:p>
        </w:tc>
        <w:tc>
          <w:tcPr>
            <w:tcW w:type="dxa" w:w="16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0.9M ACV</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Proposal Submitted</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Jun 2025</w:t>
            </w:r>
          </w:p>
        </w:tc>
        <w:tc>
          <w:tcPr>
            <w:tcW w:type="dxa" w:w="28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Largest opportunity in company history — CEO leading</w:t>
            </w:r>
          </w:p>
        </w:tc>
      </w:tr>
      <w:tr>
        <w:tc>
          <w:tcPr>
            <w:tcW w:type="dxa" w:w="2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Stanbic Bank Kenya — AML Screening</w:t>
            </w:r>
          </w:p>
        </w:tc>
        <w:tc>
          <w:tcPr>
            <w:tcW w:type="dxa" w:w="16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480K project</w:t>
            </w:r>
          </w:p>
        </w:tc>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Proof of Concept</w:t>
            </w:r>
          </w:p>
        </w:tc>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Apr 2025</w:t>
            </w:r>
          </w:p>
        </w:tc>
        <w:tc>
          <w:tcPr>
            <w:tcW w:type="dxa" w:w="28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PoC running Feb–Mar; decision expected April</w:t>
            </w:r>
          </w:p>
        </w:tc>
      </w:tr>
      <w:tr>
        <w:tc>
          <w:tcPr>
            <w:tcW w:type="dxa" w:w="2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Sanlam SA — Insurance Risk Intelligence</w:t>
            </w:r>
          </w:p>
        </w:tc>
        <w:tc>
          <w:tcPr>
            <w:tcW w:type="dxa" w:w="16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380K ACV</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Discovery</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Jun 2025</w:t>
            </w:r>
          </w:p>
        </w:tc>
        <w:tc>
          <w:tcPr>
            <w:tcW w:type="dxa" w:w="28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Intro through Old Mutual referral — strong fit</w:t>
            </w:r>
          </w:p>
        </w:tc>
      </w:tr>
      <w:tr>
        <w:tc>
          <w:tcPr>
            <w:tcW w:type="dxa" w:w="2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Co-operative Bank Kenya — Credit AI</w:t>
            </w:r>
          </w:p>
        </w:tc>
        <w:tc>
          <w:tcPr>
            <w:tcW w:type="dxa" w:w="16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290K ACV</w:t>
            </w:r>
          </w:p>
        </w:tc>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RFP</w:t>
            </w:r>
          </w:p>
        </w:tc>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May 2025</w:t>
            </w:r>
          </w:p>
        </w:tc>
        <w:tc>
          <w:tcPr>
            <w:tcW w:type="dxa" w:w="28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RFP issued; Lemasy shortlisted alongside 3 vendors</w:t>
            </w:r>
          </w:p>
        </w:tc>
      </w:tr>
      <w:tr>
        <w:tc>
          <w:tcPr>
            <w:tcW w:type="dxa" w:w="2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NCBA Group — Fraud Detection</w:t>
            </w:r>
          </w:p>
        </w:tc>
        <w:tc>
          <w:tcPr>
            <w:tcW w:type="dxa" w:w="16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1A1A2E"/>
                <w:sz w:val="20"/>
                <w:szCs w:val="20"/>
              </w:rPr>
              <w:t xml:space="preserve">USD 240K project</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Proposal Submitted</w:t>
            </w:r>
          </w:p>
        </w:tc>
        <w:tc>
          <w:tcPr>
            <w:tcW w:type="dxa" w:w="12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Apr 2025</w:t>
            </w:r>
          </w:p>
        </w:tc>
        <w:tc>
          <w:tcPr>
            <w:tcW w:type="dxa" w:w="28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Follow-on from existing Co-op bank relationship</w:t>
            </w:r>
          </w:p>
        </w:tc>
      </w:tr>
    </w:tbl>
    <w:p>
      <w:pPr>
        <w:spacing w:after="140" w:before="0"/>
      </w:pPr>
    </w:p>
    <w:p>
      <w:pPr>
        <w:pStyle w:val="Heading1"/>
        <w:spacing w:after="140" w:before="400"/>
      </w:pPr>
      <w:r>
        <w:rPr>
          <w:rFonts w:ascii="Calibri" w:cs="Calibri" w:eastAsia="Calibri" w:hAnsi="Calibri"/>
          <w:b/>
          <w:bCs/>
          <w:color w:val="0D1B2A"/>
          <w:sz w:val="30"/>
          <w:szCs w:val="30"/>
        </w:rPr>
        <w:t xml:space="preserve">4.  Market Intelligence — B2B AI in Africa</w:t>
      </w:r>
    </w:p>
    <w:p>
      <w:pPr>
        <w:pStyle w:val="Heading2"/>
        <w:spacing w:after="100" w:before="280"/>
      </w:pPr>
      <w:r>
        <w:rPr>
          <w:rFonts w:ascii="Calibri" w:cs="Calibri" w:eastAsia="Calibri" w:hAnsi="Calibri"/>
          <w:b/>
          <w:bCs/>
          <w:color w:val="1E3A5F"/>
          <w:sz w:val="24"/>
          <w:szCs w:val="24"/>
        </w:rPr>
        <w:t xml:space="preserve">4.1  Regulatory Developments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Kenya — CBK Guidance on AI in Credit Decisioning (February 2025): The CBK published a guidance note requiring banks to ensure AI credit models are explainable, auditable, and fair. This directly validates Lemasy's Cortex explainability dashboards as a compliance feature, not just a product feature. We expect this to accelerate Kenya banking pipeline conversion.</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South Africa — FSCA Roadmap on AI in Financial Services (Q1 2025): The FSCA published a discussion paper on responsible AI in financial services, signalling coming regulation. This is a 2–3 year horizon event but creates significant consulting demand in the near term. Lemasy's advisory practice should be positioned to respond.</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Pan-African — African Union Data Policy Framework: The AU is developing a continent-wide data governance framework. This could affect cross-border data flows between our Kenya and South Africa operations — Legal Counsel is monitoring.</w:t>
      </w:r>
    </w:p>
    <w:p>
      <w:pPr>
        <w:spacing w:after="80" w:before="0"/>
      </w:pPr>
    </w:p>
    <w:p>
      <w:pPr>
        <w:pStyle w:val="Heading2"/>
        <w:spacing w:after="100" w:before="280"/>
      </w:pPr>
      <w:r>
        <w:rPr>
          <w:rFonts w:ascii="Calibri" w:cs="Calibri" w:eastAsia="Calibri" w:hAnsi="Calibri"/>
          <w:b/>
          <w:bCs/>
          <w:color w:val="1E3A5F"/>
          <w:sz w:val="24"/>
          <w:szCs w:val="24"/>
        </w:rPr>
        <w:t xml:space="preserve">4.2  Competitive Intelligence</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Global Vendors (McKinsey QuantumBlack, Palantir, DataRobot): Active in South Africa but not Kenya. Their average deal size is 3–5x Lemasy's ACV. We lost one deal to McKinsey Solutions in Q1. Competitive strategy: deep local knowledge, faster implementation, Africa-specific model training data.</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Local/Regional Competitors (Asilimia, Pezesha AI, FlexFinance): Primarily focused on SME lending — not direct competitors for our enterprise FS segment. Some overlap in Kenyan fintech market.</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Hyperscaler AI Products (AWS Bedrock, Azure OpenAI, Google Vertex AI): Increasing capability but general purpose — not trained on African financial data. Our moat is African-specific training data and domain expertise. We must accelerate proprietary data acquisition.</w:t>
      </w:r>
    </w:p>
    <w:p>
      <w:pPr>
        <w:spacing w:after="140" w:before="0"/>
      </w:pPr>
    </w:p>
    <w:p>
      <w:pPr>
        <w:pStyle w:val="Heading1"/>
        <w:spacing w:after="140" w:before="400"/>
      </w:pPr>
      <w:r>
        <w:rPr>
          <w:rFonts w:ascii="Calibri" w:cs="Calibri" w:eastAsia="Calibri" w:hAnsi="Calibri"/>
          <w:b/>
          <w:bCs/>
          <w:color w:val="0D1B2A"/>
          <w:sz w:val="30"/>
          <w:szCs w:val="30"/>
        </w:rPr>
        <w:t xml:space="preserve">5.  Board Action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4320"/>
        <w:gridCol w:w="2166"/>
        <w:gridCol w:w="2000"/>
      </w:tblGrid>
      <w:tr>
        <w:tc>
          <w:tcPr>
            <w:tcW w:type="dxa" w:w="54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Ref</w:t>
            </w:r>
          </w:p>
        </w:tc>
        <w:tc>
          <w:tcPr>
            <w:tcW w:type="dxa" w:w="432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Action</w:t>
            </w:r>
          </w:p>
        </w:tc>
        <w:tc>
          <w:tcPr>
            <w:tcW w:type="dxa" w:w="216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Owner</w:t>
            </w:r>
          </w:p>
        </w:tc>
        <w:tc>
          <w:tcPr>
            <w:tcW w:type="dxa" w:w="20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Deadline</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CM-01</w:t>
            </w:r>
          </w:p>
        </w:tc>
        <w:tc>
          <w:tcPr>
            <w:tcW w:type="dxa" w:w="432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FirstRand Engagement: CEO to personally lead technical demo and commercial negotiation — board update by 15 May</w:t>
            </w:r>
          </w:p>
        </w:tc>
        <w:tc>
          <w:tcPr>
            <w:tcW w:type="dxa" w:w="216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CEO</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15 May 2025 (written update)</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CM-02</w:t>
            </w:r>
          </w:p>
        </w:tc>
        <w:tc>
          <w:tcPr>
            <w:tcW w:type="dxa" w:w="43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Digital Lender SA Remediation: CCO and delivery lead to resolve data sharing friction by end April; escalate to CEO if unresolved</w:t>
            </w:r>
          </w:p>
        </w:tc>
        <w:tc>
          <w:tcPr>
            <w:tcW w:type="dxa" w:w="216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CCO / Delivery Lead</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30 April 2025</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CM-03</w:t>
            </w:r>
          </w:p>
        </w:tc>
        <w:tc>
          <w:tcPr>
            <w:tcW w:type="dxa" w:w="432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Proprietary Data Strategy: CTO to present a strategy for building Lemasy's African financial data moat — synthetic data, data partnerships, client-contributed anonymised data</w:t>
            </w:r>
          </w:p>
        </w:tc>
        <w:tc>
          <w:tcPr>
            <w:tcW w:type="dxa" w:w="216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CTO</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Q2 Board — Jun 2025</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CM-04</w:t>
            </w:r>
          </w:p>
        </w:tc>
        <w:tc>
          <w:tcPr>
            <w:tcW w:type="dxa" w:w="43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Regulatory Positioning: CEO and Legal to draft a 1-page position paper on Lemasy's response to CBK and FSCA AI guidance — for client use</w:t>
            </w:r>
          </w:p>
        </w:tc>
        <w:tc>
          <w:tcPr>
            <w:tcW w:type="dxa" w:w="216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CEO / Legal</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30 April 2025</w:t>
            </w:r>
          </w:p>
        </w:tc>
      </w:tr>
    </w:tbl>
    <w:p>
      <w:pPr>
        <w:spacing w:after="200" w:before="0"/>
      </w:pPr>
    </w:p>
    <w:p>
      <w:pPr>
        <w:pBdr>
          <w:bottom w:val="single" w:color="7B8FA6" w:sz="4" w:space="1"/>
        </w:pBdr>
        <w:spacing w:after="0"/>
      </w:pPr>
    </w:p>
    <w:p>
      <w:pPr>
        <w:spacing w:after="80" w:before="0"/>
      </w:pPr>
    </w:p>
    <w:p>
      <w:pPr>
        <w:spacing w:after="120" w:before="80"/>
        <w:jc w:val="both"/>
      </w:pPr>
      <w:r>
        <w:rPr>
          <w:rFonts w:ascii="Calibri" w:cs="Calibri" w:eastAsia="Calibri" w:hAnsi="Calibri"/>
          <w:b w:val="false"/>
          <w:bCs w:val="false"/>
          <w:color w:val="7B8FA6"/>
          <w:sz w:val="18"/>
          <w:szCs w:val="18"/>
        </w:rPr>
        <w:t xml:space="preserve">This report has been prepared for the exclusive use of the Board of Directors of Lemasy Limited. The information herein includes proprietary commercial data, client information, and strategic plans. Any reproduction or disclosure to any third party without prior written consent of the CEO is strictly prohibited.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space="1"/>
      </w:pBdr>
      <w:tabs>
        <w:tab w:val="right" w:pos="9026"/>
      </w:tabs>
      <w:spacing w:before="80"/>
    </w:pPr>
    <w:r>
      <w:rPr>
        <w:rFonts w:ascii="Calibri" w:cs="Calibri" w:eastAsia="Calibri" w:hAnsi="Calibri"/>
        <w:color w:val="7B8FA6"/>
        <w:sz w:val="16"/>
        <w:szCs w:val="16"/>
      </w:rPr>
      <w:t xml:space="preserve">STRICTLY CONFIDENTIAL  |  For Board Use Only</w:t>
    </w:r>
    <w:r>
      <w:rPr>
        <w:rFonts w:ascii="Calibri" w:cs="Calibri" w:eastAsia="Calibri" w:hAnsi="Calibri"/>
        <w:sz w:val="16"/>
        <w:szCs w:val="16"/>
      </w:rPr>
      <w:t xml:space="preserve">	</w:t>
    </w:r>
    <w:r>
      <w:rPr>
        <w:rFonts w:ascii="Calibri" w:cs="Calibri" w:eastAsia="Calibri" w:hAnsi="Calibri"/>
        <w:color w:val="7B8FA6"/>
        <w:sz w:val="16"/>
        <w:szCs w:val="16"/>
      </w:rPr>
      <w:t xml:space="preserve">Page </w:t>
    </w:r>
    <w:r>
      <w:rPr>
        <w:rFonts w:ascii="Calibri" w:cs="Calibri" w:eastAsia="Calibri" w:hAnsi="Calibri"/>
        <w:color w:val="7B8F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1"/>
      </w:pBdr>
      <w:tabs>
        <w:tab w:val="right" w:pos="9026"/>
      </w:tabs>
      <w:spacing w:after="80"/>
    </w:pPr>
    <w:r>
      <w:rPr>
        <w:rFonts w:ascii="Calibri" w:cs="Calibri" w:eastAsia="Calibri" w:hAnsi="Calibri"/>
        <w:color w:val="7B8FA6"/>
        <w:sz w:val="17"/>
        <w:szCs w:val="17"/>
      </w:rPr>
      <w:t xml:space="preserve">Lemasy — Customer &amp; Market Intelligence Report</w:t>
    </w:r>
    <w:r>
      <w:rPr>
        <w:rFonts w:ascii="Calibri" w:cs="Calibri" w:eastAsia="Calibri" w:hAnsi="Calibri"/>
        <w:sz w:val="17"/>
        <w:szCs w:val="17"/>
      </w:rPr>
      <w:t xml:space="preserve">	</w:t>
    </w:r>
    <w:r>
      <w:rPr>
        <w:rFonts w:ascii="Calibri" w:cs="Calibri" w:eastAsia="Calibri" w:hAnsi="Calibri"/>
        <w:color w:val="7B8FA6"/>
        <w:sz w:val="17"/>
        <w:szCs w:val="17"/>
      </w:rPr>
      <w:t xml:space="preserve">Q1 2025  |  January – March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0D1B2A"/>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1E3A5F"/>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2026-05-01T08:34:32.819Z</dcterms:created>
  <dcterms:modified xsi:type="dcterms:W3CDTF">2026-05-01T08:34:32.819Z</dcterms:modified>
</cp:coreProperties>
</file>

<file path=docProps/custom.xml><?xml version="1.0" encoding="utf-8"?>
<Properties xmlns="http://schemas.openxmlformats.org/officeDocument/2006/custom-properties" xmlns:vt="http://schemas.openxmlformats.org/officeDocument/2006/docPropsVTypes"/>
</file>