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Quality assurance validation exercise</w:t>
      </w:r>
    </w:p>
    <w:p>
      <w:pPr>
        <w:spacing w:before="400"/>
      </w:pPr>
      <w:r>
        <w:rPr>
          <w:rFonts w:ascii="Calibri" w:hAnsi="Calibri"/>
          <w:color w:val="4B5563"/>
          <w:sz w:val="20"/>
        </w:rPr>
        <w:t>Prepared for Audit Committee  ·  2024  ·  20 May 2026 · 20:20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artifact to verify that committee pack enhancement infrastructure operates correctly on minimal input. No substantive audit committee content is present in the source material; the artifact contains only metadata describing its QA purpose. Enhancement cannot proceed without substrate material to refine.</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Quality Assurance Context</w:t>
      </w:r>
    </w:p>
    <w:p>
      <w:r>
        <w:rPr>
          <w:rFonts w:ascii="Calibri" w:hAnsi="Calibri"/>
          <w:color w:val="111827"/>
          <w:sz w:val="22"/>
        </w:rPr>
        <w:t>03.  Required Inputs for Enhancement</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review</w:t>
      </w:r>
    </w:p>
    <w:p>
      <w:pPr>
        <w:spacing w:after="120"/>
      </w:pPr>
      <w:r>
        <w:rPr>
          <w:rFonts w:ascii="Georgia" w:hAnsi="Georgia"/>
          <w:i w:val="0"/>
          <w:color w:val="111827"/>
          <w:sz w:val="22"/>
        </w:rPr>
        <w:t>The source artifact provided for enhancement contains two metadata sentences totaling 113 characters. No agenda items, financial data, risk registers, compliance findings, or other substantive audit committee content exists in the supplied material.</w:t>
      </w:r>
    </w:p>
    <w:p>
      <w:pPr>
        <w:spacing w:after="120"/>
      </w:pPr>
      <w:r>
        <w:rPr>
          <w:rFonts w:ascii="Georgia" w:hAnsi="Georgia"/>
          <w:i w:val="0"/>
          <w:color w:val="111827"/>
          <w:sz w:val="22"/>
        </w:rPr>
        <w:t>The instruction requests tightening wording for the audit committee, but this operation requires committee pack content to operate on. The current artifact serves as infrastructure validation scaffolding rather than governance documentation.</w:t>
      </w:r>
    </w:p>
    <w:p>
      <w:pPr>
        <w:spacing w:after="120"/>
      </w:pPr>
      <w:r>
        <w:rPr>
          <w:rFonts w:ascii="Georgia" w:hAnsi="Georgia"/>
          <w:i w:val="0"/>
          <w:color w:val="111827"/>
          <w:sz w:val="22"/>
        </w:rPr>
        <w:t>Standard audit committee packs typically include prior meeting minutes, management representations, external auditor reports, internal audit findings, risk assessments, and compliance certifications. None of these components are present.</w:t>
      </w:r>
    </w:p>
    <w:p>
      <w:pPr>
        <w:spacing w:after="120"/>
      </w:pPr>
      <w:r>
        <w:rPr>
          <w:rFonts w:ascii="Georgia" w:hAnsi="Georgia"/>
          <w:i w:val="0"/>
          <w:color w:val="111827"/>
          <w:sz w:val="22"/>
        </w:rPr>
        <w:t>The enhancement request cannot be fulfilled as specified. Producing content without grounding in the source artifact would constitute fabrication and violate the constraint to preserve factual claims and apply instructions only to text actually provided. [1]</w:t>
      </w:r>
    </w:p>
    <w:p/>
    <w:p>
      <w:pPr>
        <w:spacing w:before="400" w:after="120"/>
      </w:pPr>
      <w:r>
        <w:rPr>
          <w:rFonts w:ascii="Calibri" w:hAnsi="Calibri"/>
          <w:b/>
          <w:color w:val="0A1F44"/>
          <w:sz w:val="40"/>
        </w:rPr>
        <w:t>Quality Assurance Context</w:t>
      </w:r>
    </w:p>
    <w:p>
      <w:pPr>
        <w:spacing w:after="120"/>
      </w:pPr>
      <w:r>
        <w:rPr>
          <w:rFonts w:ascii="Georgia" w:hAnsi="Georgia"/>
          <w:i/>
          <w:color w:val="4B5563"/>
          <w:sz w:val="22"/>
        </w:rPr>
        <w:t>Regression test validation</w:t>
      </w:r>
    </w:p>
    <w:p>
      <w:pPr>
        <w:spacing w:after="120"/>
      </w:pPr>
      <w:r>
        <w:rPr>
          <w:rFonts w:ascii="Georgia" w:hAnsi="Georgia"/>
          <w:i w:val="0"/>
          <w:color w:val="111827"/>
          <w:sz w:val="22"/>
        </w:rPr>
        <w:t>The source material explicitly identifies itself as a QA Chunk 7 regression test case. This context suggests the artifact is designed to verify system behavior rather than serve as production committee documentation.</w:t>
      </w:r>
    </w:p>
    <w:p>
      <w:pPr>
        <w:spacing w:after="120"/>
      </w:pPr>
      <w:r>
        <w:rPr>
          <w:rFonts w:ascii="Georgia" w:hAnsi="Georgia"/>
          <w:i w:val="0"/>
          <w:color w:val="111827"/>
          <w:sz w:val="22"/>
        </w:rPr>
        <w:t>The test case appears designed to validate that committee pack artifacts are recognized as a first-class enhancement category within the processing infrastructure. The minimal content may be intentional to verify edge case handling.</w:t>
      </w:r>
    </w:p>
    <w:p>
      <w:pPr>
        <w:spacing w:after="120"/>
      </w:pPr>
      <w:r>
        <w:rPr>
          <w:rFonts w:ascii="Georgia" w:hAnsi="Georgia"/>
          <w:i w:val="0"/>
          <w:color w:val="111827"/>
          <w:sz w:val="22"/>
        </w:rPr>
        <w:t>Appropriate system behavior for null-content or metadata-only input is to recognize the condition rather than generate ungrounded material. This preserves integrity in the enhancement pipeline. [1]</w:t>
      </w:r>
    </w:p>
    <w:p/>
    <w:p>
      <w:pPr>
        <w:spacing w:before="400" w:after="120"/>
      </w:pPr>
      <w:r>
        <w:rPr>
          <w:rFonts w:ascii="Calibri" w:hAnsi="Calibri"/>
          <w:b/>
          <w:color w:val="0A1F44"/>
          <w:sz w:val="40"/>
        </w:rPr>
        <w:t>Required Inputs for Enhancement</w:t>
      </w:r>
    </w:p>
    <w:p>
      <w:pPr>
        <w:spacing w:after="120"/>
      </w:pPr>
      <w:r>
        <w:rPr>
          <w:rFonts w:ascii="Georgia" w:hAnsi="Georgia"/>
          <w:i/>
          <w:color w:val="4B5563"/>
          <w:sz w:val="22"/>
        </w:rPr>
        <w:t>Specification for future iterations</w:t>
      </w:r>
    </w:p>
    <w:p>
      <w:pPr>
        <w:spacing w:after="120"/>
      </w:pPr>
      <w:r>
        <w:rPr>
          <w:rFonts w:ascii="Georgia" w:hAnsi="Georgia"/>
          <w:i w:val="0"/>
          <w:color w:val="111827"/>
          <w:sz w:val="22"/>
        </w:rPr>
        <w:t>To fulfill a wording tightening request for audit committee materials, the source artifact must contain substantive governance content. This includes meeting agendas, discussion summaries, management assertions, audit findings, and committee decisions.</w:t>
      </w:r>
    </w:p>
    <w:p>
      <w:pPr>
        <w:spacing w:after="120"/>
      </w:pPr>
      <w:r>
        <w:rPr>
          <w:rFonts w:ascii="Georgia" w:hAnsi="Georgia"/>
          <w:i w:val="0"/>
          <w:color w:val="111827"/>
          <w:sz w:val="22"/>
        </w:rPr>
        <w:t>Each section requiring enhancement should include sufficient detail to assess verbosity, clarity, and precision. Specific focus areas for audit committee tightening typically include regulatory compliance language, risk characterization, and action item specificity.</w:t>
      </w:r>
    </w:p>
    <w:p>
      <w:pPr>
        <w:spacing w:after="120"/>
      </w:pPr>
      <w:r>
        <w:rPr>
          <w:rFonts w:ascii="Georgia" w:hAnsi="Georgia"/>
          <w:i w:val="0"/>
          <w:color w:val="111827"/>
          <w:sz w:val="22"/>
        </w:rPr>
        <w:t>Citations to supporting documentation must be present in the source material to enable verification that enhanced wording preserves factual accuracy. Without this grounding, enhancement becomes speculation.</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Quality Assurance Team — Confirm whether QA Chunk 7 regression test is intended to validate null-content handling or was supplied with incomplete source material by Before next test cycle</w:t>
      </w:r>
    </w:p>
    <w:p>
      <w:pPr>
        <w:spacing w:after="80"/>
      </w:pPr>
      <w:r>
        <w:rPr>
          <w:rFonts w:ascii="Calibri" w:hAnsi="Calibri"/>
          <w:b/>
          <w:color w:val="8B2E2B"/>
          <w:sz w:val="22"/>
        </w:rPr>
        <w:t xml:space="preserve">2.  </w:t>
      </w:r>
      <w:r>
        <w:rPr>
          <w:rFonts w:ascii="Georgia" w:hAnsi="Georgia"/>
          <w:color w:val="111827"/>
          <w:sz w:val="22"/>
        </w:rPr>
        <w:t>Document Operations — Establish minimum content thresholds for committee pack enhancement requests to ensure actionable substrate exists by Within 30 days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