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 w:val="0"/>
          <w:i w:val="0"/>
          <w:color w:val="6B6B6B"/>
          <w:sz w:val="18"/>
        </w:rPr>
        <w:t>Develop Strategy</w:t>
      </w:r>
    </w:p>
    <w:p>
      <w:pPr>
        <w:spacing w:after="160"/>
        <w:jc w:val="left"/>
      </w:pPr>
      <w:r>
        <w:rPr>
          <w:rFonts w:ascii="Georgia" w:hAnsi="Georgia"/>
          <w:b/>
          <w:i w:val="0"/>
          <w:color w:val="2A1B1D"/>
          <w:sz w:val="44"/>
        </w:rPr>
        <w:t>We have a 3-year strategic refresh due.</w:t>
      </w:r>
    </w:p>
    <w:p>
      <w:pPr>
        <w:spacing w:after="280"/>
        <w:jc w:val="left"/>
      </w:pPr>
      <w:r>
        <w:rPr>
          <w:rFonts w:ascii="Calibri" w:hAnsi="Calibri"/>
          <w:b w:val="0"/>
          <w:i w:val="0"/>
          <w:color w:val="5A4A4D"/>
          <w:sz w:val="20"/>
        </w:rPr>
        <w:t>05 May 2026 · 14 minutes · Strategy is drifting and nobody wants to say it</w:t>
      </w:r>
    </w:p>
    <w:p>
      <w:pPr>
        <w:spacing w:after="120"/>
        <w:jc w:val="left"/>
      </w:pPr>
      <w:r>
        <w:rPr>
          <w:rFonts w:ascii="Georgia" w:hAnsi="Georgia"/>
          <w:b w:val="0"/>
          <w:i/>
          <w:color w:val="C25A38"/>
          <w:sz w:val="20"/>
        </w:rPr>
        <w:t>WHAT'S MISSING</w:t>
      </w:r>
    </w:p>
    <w:p>
      <w:pPr>
        <w:spacing w:after="280"/>
        <w:jc w:val="left"/>
      </w:pPr>
      <w:r>
        <w:rPr>
          <w:rFonts w:ascii="Georgia" w:hAnsi="Georgia"/>
          <w:b w:val="0"/>
          <w:i w:val="0"/>
          <w:color w:val="2A1B1D"/>
          <w:sz w:val="24"/>
        </w:rPr>
        <w:t>We do not have the latest cash-flow forecast nor the segment EBITDA disclosure to weight the divestment scenarios honestly.</w:t>
      </w:r>
    </w:p>
    <w:p>
      <w:pPr>
        <w:spacing w:after="80"/>
        <w:jc w:val="left"/>
      </w:pPr>
      <w:r>
        <w:rPr>
          <w:rFonts w:ascii="Georgia" w:hAnsi="Georgia"/>
          <w:b w:val="0"/>
          <w:i/>
          <w:color w:val="C25A38"/>
          <w:sz w:val="20"/>
        </w:rPr>
        <w:t>WHAT SOLVA CAN OFFER</w:t>
      </w:r>
    </w:p>
    <w:p>
      <w:pPr>
        <w:spacing w:after="120"/>
        <w:jc w:val="left"/>
      </w:pPr>
      <w:r>
        <w:rPr>
          <w:rFonts w:ascii="Calibri" w:hAnsi="Calibri"/>
          <w:b w:val="0"/>
          <w:i/>
          <w:color w:val="5A4A4D"/>
          <w:sz w:val="20"/>
        </w:rPr>
        <w:t>Here are the framings worth examining, without weighting.</w:t>
      </w:r>
    </w:p>
    <w:p>
      <w:pPr>
        <w:pStyle w:val="ListBullet"/>
      </w:pPr>
      <w:r>
        <w:t>Cash-flow constraint</w:t>
      </w:r>
    </w:p>
    <w:p>
      <w:pPr>
        <w:spacing w:after="160"/>
        <w:jc w:val="left"/>
      </w:pPr>
      <w:r>
        <w:rPr>
          <w:rFonts w:ascii="Calibri" w:hAnsi="Calibri"/>
          <w:b w:val="0"/>
          <w:i w:val="0"/>
          <w:color w:val="2A1B1D"/>
          <w:sz w:val="22"/>
        </w:rPr>
      </w:r>
    </w:p>
    <w:p>
      <w:pPr>
        <w:spacing w:after="80"/>
        <w:jc w:val="left"/>
      </w:pPr>
      <w:r>
        <w:rPr>
          <w:rFonts w:ascii="Georgia" w:hAnsi="Georgia"/>
          <w:b w:val="0"/>
          <w:i/>
          <w:color w:val="C25A38"/>
          <w:sz w:val="20"/>
        </w:rPr>
        <w:t>RECOMMENDED NEXT ACTION</w:t>
      </w:r>
    </w:p>
    <w:p>
      <w:pPr>
        <w:pStyle w:val="ListNumber"/>
      </w:pPr>
      <w:r>
        <w:t>Pull last quarter's segment-level cash flow.</w:t>
      </w:r>
    </w:p>
    <w:p>
      <w:pPr>
        <w:pStyle w:val="ListNumber"/>
      </w:pPr>
      <w:r>
        <w:t>Get the CFO's draft of the strategic refresh capital ask.</w:t>
      </w:r>
    </w:p>
    <w:p>
      <w:pPr>
        <w:pStyle w:val="ListNumber"/>
      </w:pPr>
      <w:r>
        <w:t>Return for a full synthesis once both are in hand.</w:t>
      </w:r>
    </w:p>
    <w:p>
      <w:pPr>
        <w:spacing w:after="240"/>
        <w:jc w:val="left"/>
      </w:pPr>
      <w:r>
        <w:rPr>
          <w:rFonts w:ascii="Calibri" w:hAnsi="Calibri"/>
          <w:b w:val="0"/>
          <w:i w:val="0"/>
          <w:color w:val="2A1B1D"/>
          <w:sz w:val="22"/>
        </w:rPr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color w:val="6B6B6B"/>
          <w:sz w:val="18"/>
        </w:rPr>
        <w:t>Session 99999999 · Audit log 2 entries · 05 May 2026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color w:val="6B6B6B"/>
          <w:sz w:val="18"/>
        </w:rPr>
        <w:t>Generated by AKKI · Solva v3</w:t>
      </w:r>
    </w:p>
    <w:sectPr w:rsidR="00FC693F" w:rsidRPr="0006063C" w:rsidSect="00034616">
      <w:pgSz w:w="12240" w:h="15840"/>
      <w:pgMar w:top="1361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