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 w:val="0"/>
          <w:i w:val="0"/>
          <w:color w:val="6B6B6B"/>
          <w:sz w:val="18"/>
        </w:rPr>
        <w:t>Develop Strategy</w:t>
      </w:r>
    </w:p>
    <w:p>
      <w:pPr>
        <w:spacing w:after="160"/>
        <w:jc w:val="left"/>
      </w:pPr>
      <w:r>
        <w:rPr>
          <w:rFonts w:ascii="Georgia" w:hAnsi="Georgia"/>
          <w:b/>
          <w:i w:val="0"/>
          <w:color w:val="2A1B1D"/>
          <w:sz w:val="44"/>
        </w:rPr>
        <w:t>We have a 3-year strategic refresh due.</w:t>
      </w:r>
    </w:p>
    <w:p>
      <w:pPr>
        <w:spacing w:after="280"/>
        <w:jc w:val="left"/>
      </w:pPr>
      <w:r>
        <w:rPr>
          <w:rFonts w:ascii="Calibri" w:hAnsi="Calibri"/>
          <w:b w:val="0"/>
          <w:i w:val="0"/>
          <w:color w:val="5A4A4D"/>
          <w:sz w:val="20"/>
        </w:rPr>
        <w:t>05 May 2026 · 14 minutes · Strategy is drifting and nobody wants to say it</w:t>
      </w:r>
    </w:p>
    <w:p>
      <w:pPr>
        <w:spacing w:after="120"/>
        <w:jc w:val="left"/>
      </w:pPr>
      <w:r>
        <w:rPr>
          <w:rFonts w:ascii="Georgia" w:hAnsi="Georgia"/>
          <w:b w:val="0"/>
          <w:i/>
          <w:color w:val="C25A38"/>
          <w:sz w:val="20"/>
        </w:rPr>
        <w:t>PRIMARY DIAGNOSIS</w:t>
      </w:r>
    </w:p>
    <w:p>
      <w:pPr>
        <w:spacing w:after="160"/>
        <w:jc w:val="left"/>
      </w:pPr>
      <w:r>
        <w:rPr>
          <w:rFonts w:ascii="Georgia" w:hAnsi="Georgia"/>
          <w:b w:val="0"/>
          <w:i w:val="0"/>
          <w:color w:val="2A1B1D"/>
          <w:sz w:val="24"/>
        </w:rPr>
        <w:t>Three scenarios are credible. Scenario A — keep the current strategy and double down on cost discipline.</w:t>
      </w:r>
    </w:p>
    <w:p>
      <w:pPr>
        <w:spacing w:after="160"/>
        <w:jc w:val="left"/>
      </w:pPr>
      <w:r>
        <w:rPr>
          <w:rFonts w:ascii="Georgia" w:hAnsi="Georgia"/>
          <w:b w:val="0"/>
          <w:i w:val="0"/>
          <w:color w:val="2A1B1D"/>
          <w:sz w:val="24"/>
        </w:rPr>
        <w:t>Scenario B — partial pivot toward services revenue, capped at 15% of group capex. Scenario C — full divestment of the underperforming segment and a focused services bet.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color w:val="2A1B1D"/>
          <w:sz w:val="22"/>
        </w:rPr>
      </w:r>
    </w:p>
    <w:p>
      <w:pPr>
        <w:spacing w:after="120"/>
        <w:jc w:val="left"/>
      </w:pPr>
      <w:r>
        <w:rPr>
          <w:rFonts w:ascii="Georgia" w:hAnsi="Georgia"/>
          <w:b w:val="0"/>
          <w:i/>
          <w:color w:val="C25A38"/>
          <w:sz w:val="20"/>
        </w:rPr>
        <w:t>SCENARIOS</w:t>
      </w:r>
    </w:p>
    <w:p>
      <w:pPr>
        <w:spacing w:after="40"/>
      </w:pPr>
      <w:r>
        <w:rPr>
          <w:rFonts w:ascii="Georgia" w:hAnsi="Georgia"/>
          <w:b/>
          <w:color w:val="2A1B1D"/>
          <w:sz w:val="22"/>
        </w:rPr>
        <w:t>Scenario B — partial pivot toward services revenue…</w:t>
      </w:r>
      <w:r>
        <w:t xml:space="preserve">    </w:t>
      </w:r>
      <w:r>
        <w:rPr>
          <w:rFonts w:ascii="Calibri" w:hAnsi="Calibri"/>
          <w:color w:val="5A4A4D"/>
          <w:sz w:val="20"/>
        </w:rPr>
        <w:t>61% (53–69%)</w:t>
      </w:r>
    </w:p>
    <w:p>
      <w:pPr>
        <w:spacing w:after="80"/>
        <w:jc w:val="left"/>
      </w:pPr>
      <w:r>
        <w:rPr>
          <w:rFonts w:ascii="Georgia" w:hAnsi="Georgia"/>
          <w:b w:val="0"/>
          <w:i/>
          <w:color w:val="5A4A4D"/>
          <w:sz w:val="20"/>
        </w:rPr>
        <w:t>capped at 15% of group capex.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val="238"/>
        </w:trPr>
        <w:tc>
          <w:tcPr>
            <w:tcW w:type="dxa" w:w="4207"/>
            <w:shd w:val="clear" w:color="auto" w:fill="D5C9B6"/>
          </w:tcPr>
          <w:p>
            <w:r/>
          </w:p>
        </w:tc>
        <w:tc>
          <w:tcPr>
            <w:tcW w:type="dxa" w:w="635"/>
            <w:shd w:val="clear" w:color="auto" w:fill="2A1B1D"/>
          </w:tcPr>
          <w:p>
            <w:r/>
          </w:p>
        </w:tc>
        <w:tc>
          <w:tcPr>
            <w:tcW w:type="dxa" w:w="635"/>
            <w:shd w:val="clear" w:color="auto" w:fill="8B6F71"/>
          </w:tcPr>
          <w:p>
            <w:r/>
          </w:p>
        </w:tc>
        <w:tc>
          <w:tcPr>
            <w:tcW w:type="dxa" w:w="2460"/>
            <w:shd w:val="clear" w:color="auto" w:fill="D5C9B6"/>
          </w:tcPr>
          <w:p>
            <w:r/>
          </w:p>
        </w:tc>
      </w:tr>
    </w:tbl>
    <w:p>
      <w:pPr>
        <w:spacing w:after="120"/>
        <w:jc w:val="left"/>
      </w:pPr>
      <w:r>
        <w:rPr>
          <w:rFonts w:ascii="Calibri" w:hAnsi="Calibri"/>
          <w:b w:val="0"/>
          <w:i w:val="0"/>
          <w:color w:val="2A1B1D"/>
          <w:sz w:val="22"/>
        </w:rPr>
      </w:r>
    </w:p>
    <w:p>
      <w:pPr>
        <w:spacing w:after="40"/>
      </w:pPr>
      <w:r>
        <w:rPr>
          <w:rFonts w:ascii="Georgia" w:hAnsi="Georgia"/>
          <w:b/>
          <w:color w:val="2A1B1D"/>
          <w:sz w:val="22"/>
        </w:rPr>
        <w:t>Scenario A — keep the current strategy and…</w:t>
      </w:r>
      <w:r>
        <w:t xml:space="preserve">    </w:t>
      </w:r>
      <w:r>
        <w:rPr>
          <w:rFonts w:ascii="Calibri" w:hAnsi="Calibri"/>
          <w:color w:val="5A4A4D"/>
          <w:sz w:val="20"/>
        </w:rPr>
        <w:t>28% (13–43%)</w:t>
      </w:r>
    </w:p>
    <w:p>
      <w:pPr>
        <w:spacing w:after="80"/>
        <w:jc w:val="left"/>
      </w:pPr>
      <w:r>
        <w:rPr>
          <w:rFonts w:ascii="Georgia" w:hAnsi="Georgia"/>
          <w:b w:val="0"/>
          <w:i/>
          <w:color w:val="5A4A4D"/>
          <w:sz w:val="20"/>
        </w:rPr>
        <w:t>double down on cost discipline.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val="238"/>
        </w:trPr>
        <w:tc>
          <w:tcPr>
            <w:tcW w:type="dxa" w:w="1032"/>
            <w:shd w:val="clear" w:color="auto" w:fill="D5C9B6"/>
          </w:tcPr>
          <w:p>
            <w:r/>
          </w:p>
        </w:tc>
        <w:tc>
          <w:tcPr>
            <w:tcW w:type="dxa" w:w="1191"/>
            <w:shd w:val="clear" w:color="auto" w:fill="2A1B1D"/>
          </w:tcPr>
          <w:p>
            <w:r/>
          </w:p>
        </w:tc>
        <w:tc>
          <w:tcPr>
            <w:tcW w:type="dxa" w:w="1191"/>
            <w:shd w:val="clear" w:color="auto" w:fill="8B6F71"/>
          </w:tcPr>
          <w:p>
            <w:r/>
          </w:p>
        </w:tc>
        <w:tc>
          <w:tcPr>
            <w:tcW w:type="dxa" w:w="4524"/>
            <w:shd w:val="clear" w:color="auto" w:fill="D5C9B6"/>
          </w:tcPr>
          <w:p>
            <w:r/>
          </w:p>
        </w:tc>
      </w:tr>
    </w:tbl>
    <w:p>
      <w:pPr>
        <w:spacing w:after="120"/>
        <w:jc w:val="left"/>
      </w:pPr>
      <w:r>
        <w:rPr>
          <w:rFonts w:ascii="Calibri" w:hAnsi="Calibri"/>
          <w:b w:val="0"/>
          <w:i w:val="0"/>
          <w:color w:val="2A1B1D"/>
          <w:sz w:val="22"/>
        </w:rPr>
      </w:r>
    </w:p>
    <w:p>
      <w:pPr>
        <w:spacing w:after="40"/>
      </w:pPr>
      <w:r>
        <w:rPr>
          <w:rFonts w:ascii="Georgia" w:hAnsi="Georgia"/>
          <w:b/>
          <w:color w:val="2A1B1D"/>
          <w:sz w:val="22"/>
        </w:rPr>
        <w:t>Scenario C — full divestment of the underperforming…</w:t>
      </w:r>
      <w:r>
        <w:t xml:space="preserve">    </w:t>
      </w:r>
      <w:r>
        <w:rPr>
          <w:rFonts w:ascii="Calibri" w:hAnsi="Calibri"/>
          <w:color w:val="5A4A4D"/>
          <w:sz w:val="20"/>
        </w:rPr>
        <w:t>18% (3–33%)</w:t>
      </w:r>
    </w:p>
    <w:p>
      <w:pPr>
        <w:spacing w:after="80"/>
        <w:jc w:val="left"/>
      </w:pPr>
      <w:r>
        <w:rPr>
          <w:rFonts w:ascii="Georgia" w:hAnsi="Georgia"/>
          <w:b w:val="0"/>
          <w:i/>
          <w:color w:val="5A4A4D"/>
          <w:sz w:val="20"/>
        </w:rPr>
        <w:t>segment and a focused services bet.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val="238"/>
        </w:trPr>
        <w:tc>
          <w:tcPr>
            <w:tcW w:type="dxa" w:w="238"/>
            <w:shd w:val="clear" w:color="auto" w:fill="D5C9B6"/>
          </w:tcPr>
          <w:p>
            <w:r/>
          </w:p>
        </w:tc>
        <w:tc>
          <w:tcPr>
            <w:tcW w:type="dxa" w:w="1191"/>
            <w:shd w:val="clear" w:color="auto" w:fill="2A1B1D"/>
          </w:tcPr>
          <w:p>
            <w:r/>
          </w:p>
        </w:tc>
        <w:tc>
          <w:tcPr>
            <w:tcW w:type="dxa" w:w="1191"/>
            <w:shd w:val="clear" w:color="auto" w:fill="8B6F71"/>
          </w:tcPr>
          <w:p>
            <w:r/>
          </w:p>
        </w:tc>
        <w:tc>
          <w:tcPr>
            <w:tcW w:type="dxa" w:w="5318"/>
            <w:shd w:val="clear" w:color="auto" w:fill="D5C9B6"/>
          </w:tcPr>
          <w:p>
            <w:r/>
          </w:p>
        </w:tc>
      </w:tr>
    </w:tbl>
    <w:p>
      <w:pPr>
        <w:spacing w:after="120"/>
        <w:jc w:val="left"/>
      </w:pPr>
      <w:r>
        <w:rPr>
          <w:rFonts w:ascii="Calibri" w:hAnsi="Calibri"/>
          <w:b w:val="0"/>
          <w:i w:val="0"/>
          <w:color w:val="2A1B1D"/>
          <w:sz w:val="22"/>
        </w:rPr>
      </w:r>
    </w:p>
    <w:p>
      <w:pPr>
        <w:spacing w:after="80"/>
        <w:jc w:val="left"/>
      </w:pPr>
      <w:r>
        <w:rPr>
          <w:rFonts w:ascii="Georgia" w:hAnsi="Georgia"/>
          <w:b w:val="0"/>
          <w:i/>
          <w:color w:val="C25A38"/>
          <w:sz w:val="20"/>
        </w:rPr>
        <w:t>WHAT WOULD CHANGE THIS READ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EFE6"/>
          </w:tcPr>
          <w:p>
            <w:r/>
          </w:p>
          <w:p>
            <w:r>
              <w:rPr>
                <w:rFonts w:ascii="Georgia" w:hAnsi="Georgia"/>
                <w:color w:val="2A1B1D"/>
                <w:sz w:val="22"/>
              </w:rPr>
              <w:t>If the assumption that scenario c — full divestment of the underperforming… no longer holds, the 18% read would move materially.</w:t>
            </w:r>
          </w:p>
        </w:tc>
      </w:tr>
    </w:tbl>
    <w:p>
      <w:pPr>
        <w:spacing w:after="160"/>
        <w:jc w:val="left"/>
      </w:pPr>
      <w:r>
        <w:rPr>
          <w:rFonts w:ascii="Calibri" w:hAnsi="Calibri"/>
          <w:b w:val="0"/>
          <w:i w:val="0"/>
          <w:color w:val="2A1B1D"/>
          <w:sz w:val="22"/>
        </w:rPr>
      </w:r>
    </w:p>
    <w:p>
      <w:pPr>
        <w:spacing w:after="120"/>
        <w:jc w:val="left"/>
      </w:pPr>
      <w:r>
        <w:rPr>
          <w:rFonts w:ascii="Georgia" w:hAnsi="Georgia"/>
          <w:b w:val="0"/>
          <w:i/>
          <w:color w:val="C25A38"/>
          <w:sz w:val="20"/>
        </w:rPr>
        <w:t>RECOMMENDATIONS</w:t>
      </w:r>
    </w:p>
    <w:p>
      <w:pPr>
        <w:pStyle w:val="ListNumber"/>
      </w:pPr>
      <w:r>
        <w:rPr>
          <w:rFonts w:ascii="Georgia" w:hAnsi="Georgia"/>
          <w:b/>
          <w:color w:val="2A1B1D"/>
          <w:sz w:val="22"/>
        </w:rPr>
        <w:t xml:space="preserve">Recommendation 1 — </w:t>
      </w:r>
      <w:r>
        <w:rPr>
          <w:rFonts w:ascii="Georgia" w:hAnsi="Georgia"/>
          <w:color w:val="2A1B1D"/>
          <w:sz w:val="22"/>
        </w:rPr>
        <w:t>Commission the cash-flow stress test by the next board cycle.</w:t>
      </w:r>
    </w:p>
    <w:p>
      <w:pPr>
        <w:pStyle w:val="ListNumber"/>
      </w:pPr>
      <w:r>
        <w:rPr>
          <w:rFonts w:ascii="Georgia" w:hAnsi="Georgia"/>
          <w:b/>
          <w:color w:val="2A1B1D"/>
          <w:sz w:val="22"/>
        </w:rPr>
        <w:t xml:space="preserve">Recommendation 2 — </w:t>
      </w:r>
      <w:r>
        <w:rPr>
          <w:rFonts w:ascii="Georgia" w:hAnsi="Georgia"/>
          <w:color w:val="2A1B1D"/>
          <w:sz w:val="22"/>
        </w:rPr>
        <w:t>Brief the chair on the Scenario B scope-cap before committing to capex.</w:t>
      </w:r>
    </w:p>
    <w:p>
      <w:pPr>
        <w:spacing w:after="240"/>
        <w:jc w:val="left"/>
      </w:pPr>
      <w:r>
        <w:rPr>
          <w:rFonts w:ascii="Calibri" w:hAnsi="Calibri"/>
          <w:b w:val="0"/>
          <w:i w:val="0"/>
          <w:color w:val="2A1B1D"/>
          <w:sz w:val="22"/>
        </w:rPr>
      </w:r>
    </w:p>
    <w:p>
      <w:pPr>
        <w:spacing w:after="40"/>
        <w:jc w:val="left"/>
      </w:pPr>
      <w:r>
        <w:rPr>
          <w:rFonts w:ascii="Calibri" w:hAnsi="Calibri"/>
          <w:b w:val="0"/>
          <w:i w:val="0"/>
          <w:color w:val="6B6B6B"/>
          <w:sz w:val="18"/>
        </w:rPr>
        <w:t>Session 11111111 · Audit log 4 entries · 05 May 2026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color w:val="6B6B6B"/>
          <w:sz w:val="18"/>
        </w:rPr>
        <w:t>Generated by AKKI · Solva v3</w:t>
      </w:r>
    </w:p>
    <w:sectPr w:rsidR="00FC693F" w:rsidRPr="0006063C" w:rsidSect="00034616">
      <w:pgSz w:w="12240" w:h="15840"/>
      <w:pgMar w:top="1361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