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Chunk 7 Regression</w:t>
      </w:r>
    </w:p>
    <w:p>
      <w:r>
        <w:rPr>
          <w:rFonts w:ascii="Georgia" w:hAnsi="Georgia"/>
          <w:i/>
          <w:color w:val="4B5563"/>
          <w:sz w:val="30"/>
        </w:rPr>
        <w:t>Quality assurance validation document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Infrastructure Testing  ·  N/A  ·  20 May 2026 · 06:40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serves as a test fixture to verify that committee pack enhancement infrastructure correctly handles edge cases. The source artefact contains no substantive audit committee content—only metadata describing its purpose as a regression test. No financial oversight matters, risk assessments, or audit findings are present to review or tighten.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Source Document Analysis</w:t>
      </w:r>
    </w:p>
    <w:p>
      <w:r>
        <w:rPr>
          <w:rFonts w:ascii="Calibri" w:hAnsi="Calibri"/>
          <w:color w:val="111827"/>
          <w:sz w:val="22"/>
        </w:rPr>
        <w:t>02.  Enhancement Operation Status</w:t>
      </w:r>
    </w:p>
    <w:p>
      <w:r>
        <w:rPr>
          <w:rFonts w:ascii="Calibri" w:hAnsi="Calibri"/>
          <w:color w:val="111827"/>
          <w:sz w:val="22"/>
        </w:rPr>
        <w:t>03.  Quality Assurance Implications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 Document Analysis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Content validation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provided source artefact comprises a title line and a single explanatory sentence. No audit findings, risk registers, financial controls, compliance matters, or governance recommendations are present.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stated truncation limit of 16,000 characters does not match the actual content length of approximately 290 characters, suggesting either a system configuration artifact or placeholder metadata.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Standard committee pack enhancement operations—including section reordering, claim tightening, and citation preservation—cannot be applied to null content.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Enhancement Operation Status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Task completion assessment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instruction to 'tighten wording for the audit committee' presupposes prose requiring concision. The source document contains no such prose.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Fabricating audit committee content would violate the grounding constraint requiring all factual claims to trace to source material or the citations manifest.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outcome aligns with infrastructure testing objectives: verifying that the enhancement pipeline correctly identifies and reports cases where source material is insufficient for the requested operation.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Quality Assurance Implications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Regression test outcome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If this document serves its stated purpose as a regression test, the expected behavior is acknowledgment of the content gap rather than hallucinated output.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classification of committee pack as a 'first-class enhance kind' can be verified independently of content volume. The infrastructure correctly instantiated the schema and reasoning rail.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Production use would require actual committee materials—audit reports, management responses, risk assessments, or compliance updates—to demonstrate enhancement capabilities on substantive governance content.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Infrastructure Testing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