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Quality Assurance Test Document</w:t>
      </w:r>
    </w:p>
    <w:p>
      <w:pPr>
        <w:spacing w:before="400"/>
      </w:pPr>
      <w:r>
        <w:rPr>
          <w:rFonts w:ascii="Calibri" w:hAnsi="Calibri"/>
          <w:color w:val="4B5563"/>
          <w:sz w:val="20"/>
        </w:rPr>
        <w:t>Prepared for QA Chunk 7 Regression Testing  ·  N/A  ·  25 May 2026 · 11:40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test fixture to validate that committee pack enhancement pipelines correctly handle audit committee materials as a first-class artefact kind. No substantive audit committee content was provided in the source material beyond metadata headers. The source artefact contained approximately 200 characters rather than the indicated 16,000, preventing meaningful enhancement of financial controls, risk assessments, or governance findings.</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Pipeline Validation Outcome</w:t>
      </w:r>
    </w:p>
    <w:p>
      <w:r>
        <w:rPr>
          <w:rFonts w:ascii="Calibri" w:hAnsi="Calibri"/>
          <w:color w:val="111827"/>
          <w:sz w:val="22"/>
        </w:rPr>
        <w:t>03.  Enhancement Scope Limitation</w:t>
      </w:r>
    </w:p>
    <w:p>
      <w:r>
        <w:rPr>
          <w:rFonts w:ascii="Calibri" w:hAnsi="Calibri"/>
          <w:color w:val="111827"/>
          <w:sz w:val="22"/>
        </w:rPr>
        <w:t>04.  Technical Constraint Adherence</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w:t>
      </w:r>
    </w:p>
    <w:p>
      <w:pPr>
        <w:spacing w:after="120"/>
      </w:pPr>
      <w:r>
        <w:rPr>
          <w:rFonts w:ascii="Georgia" w:hAnsi="Georgia"/>
          <w:i w:val="0"/>
          <w:color w:val="111827"/>
          <w:sz w:val="22"/>
        </w:rPr>
        <w:t>The provided source artefact consists solely of a title and meta-description identifying this as QA regression test material.</w:t>
      </w:r>
    </w:p>
    <w:p>
      <w:pPr>
        <w:spacing w:after="120"/>
      </w:pPr>
      <w:r>
        <w:rPr>
          <w:rFonts w:ascii="Georgia" w:hAnsi="Georgia"/>
          <w:i w:val="0"/>
          <w:color w:val="111827"/>
          <w:sz w:val="22"/>
        </w:rPr>
        <w:t>No audit committee content is present—no financial findings, risk assessments, internal control evaluations, or compliance discussions.</w:t>
      </w:r>
    </w:p>
    <w:p>
      <w:pPr>
        <w:spacing w:after="120"/>
      </w:pPr>
      <w:r>
        <w:rPr>
          <w:rFonts w:ascii="Georgia" w:hAnsi="Georgia"/>
          <w:i w:val="0"/>
          <w:color w:val="111827"/>
          <w:sz w:val="22"/>
        </w:rPr>
        <w:t>The truncation indicator suggests content exists elsewhere, but the enhancement pipeline received insufficient material to perform substantive work. [1]</w:t>
      </w:r>
    </w:p>
    <w:p/>
    <w:p>
      <w:pPr>
        <w:spacing w:before="400" w:after="120"/>
      </w:pPr>
      <w:r>
        <w:rPr>
          <w:rFonts w:ascii="Calibri" w:hAnsi="Calibri"/>
          <w:b/>
          <w:color w:val="0A1F44"/>
          <w:sz w:val="40"/>
        </w:rPr>
        <w:t>Pipeline Validation Outcome</w:t>
      </w:r>
    </w:p>
    <w:p>
      <w:pPr>
        <w:spacing w:after="120"/>
      </w:pPr>
      <w:r>
        <w:rPr>
          <w:rFonts w:ascii="Georgia" w:hAnsi="Georgia"/>
          <w:i/>
          <w:color w:val="4B5563"/>
          <w:sz w:val="22"/>
        </w:rPr>
        <w:t>Committee Pack Kind Recognition</w:t>
      </w:r>
    </w:p>
    <w:p>
      <w:pPr>
        <w:spacing w:after="120"/>
      </w:pPr>
      <w:r>
        <w:rPr>
          <w:rFonts w:ascii="Georgia" w:hAnsi="Georgia"/>
          <w:i w:val="0"/>
          <w:color w:val="111827"/>
          <w:sz w:val="22"/>
        </w:rPr>
        <w:t>The system successfully recognized the artefact as kind 'committee_pack' and routed it to the appropriate enhancement workflow.</w:t>
      </w:r>
    </w:p>
    <w:p>
      <w:pPr>
        <w:spacing w:after="120"/>
      </w:pPr>
      <w:r>
        <w:rPr>
          <w:rFonts w:ascii="Georgia" w:hAnsi="Georgia"/>
          <w:i w:val="0"/>
          <w:color w:val="111827"/>
          <w:sz w:val="22"/>
        </w:rPr>
        <w:t>Schema enforcement and citation manifest generation functioned as expected.</w:t>
      </w:r>
    </w:p>
    <w:p>
      <w:pPr>
        <w:spacing w:after="120"/>
      </w:pPr>
      <w:r>
        <w:rPr>
          <w:rFonts w:ascii="Georgia" w:hAnsi="Georgia"/>
          <w:i w:val="0"/>
          <w:color w:val="111827"/>
          <w:sz w:val="22"/>
        </w:rPr>
        <w:t>Constraint preservation logic operated correctly, declining to fabricate content where none existed in the grounding material. [1]</w:t>
      </w:r>
    </w:p>
    <w:p/>
    <w:p>
      <w:pPr>
        <w:spacing w:before="400" w:after="120"/>
      </w:pPr>
      <w:r>
        <w:rPr>
          <w:rFonts w:ascii="Calibri" w:hAnsi="Calibri"/>
          <w:b/>
          <w:color w:val="0A1F44"/>
          <w:sz w:val="40"/>
        </w:rPr>
        <w:t>Enhancement Scope Limitation</w:t>
      </w:r>
    </w:p>
    <w:p>
      <w:pPr>
        <w:spacing w:after="120"/>
      </w:pPr>
      <w:r>
        <w:rPr>
          <w:rFonts w:ascii="Georgia" w:hAnsi="Georgia"/>
          <w:i w:val="0"/>
          <w:color w:val="111827"/>
          <w:sz w:val="22"/>
        </w:rPr>
        <w:t>The instruction to 'tighten the wording' could not be applied to substantive audit committee findings because no such findings were present in the source material.</w:t>
      </w:r>
    </w:p>
    <w:p>
      <w:pPr>
        <w:spacing w:after="120"/>
      </w:pPr>
      <w:r>
        <w:rPr>
          <w:rFonts w:ascii="Georgia" w:hAnsi="Georgia"/>
          <w:i w:val="0"/>
          <w:color w:val="111827"/>
          <w:sz w:val="22"/>
        </w:rPr>
        <w:t>Typical audit committee pack enhancements would address financial statement accuracy, internal control effectiveness, audit scope adequacy, regulatory compliance status, and risk management oversight.</w:t>
      </w:r>
    </w:p>
    <w:p>
      <w:pPr>
        <w:spacing w:after="120"/>
      </w:pPr>
      <w:r>
        <w:rPr>
          <w:rFonts w:ascii="Georgia" w:hAnsi="Georgia"/>
          <w:i w:val="0"/>
          <w:color w:val="111827"/>
          <w:sz w:val="22"/>
        </w:rPr>
        <w:t>Without source content covering these domains, no recommendations or executive-level summaries could be extracted or refined. [1]</w:t>
      </w:r>
    </w:p>
    <w:p/>
    <w:p>
      <w:pPr>
        <w:spacing w:before="400" w:after="120"/>
      </w:pPr>
      <w:r>
        <w:rPr>
          <w:rFonts w:ascii="Calibri" w:hAnsi="Calibri"/>
          <w:b/>
          <w:color w:val="0A1F44"/>
          <w:sz w:val="40"/>
        </w:rPr>
        <w:t>Technical Constraint Adherence</w:t>
      </w:r>
    </w:p>
    <w:p>
      <w:pPr>
        <w:spacing w:after="120"/>
      </w:pPr>
      <w:r>
        <w:rPr>
          <w:rFonts w:ascii="Georgia" w:hAnsi="Georgia"/>
          <w:i/>
          <w:color w:val="4B5563"/>
          <w:sz w:val="22"/>
        </w:rPr>
        <w:t>Preservation Mandate</w:t>
      </w:r>
    </w:p>
    <w:p>
      <w:pPr>
        <w:spacing w:after="120"/>
      </w:pPr>
      <w:r>
        <w:rPr>
          <w:rFonts w:ascii="Georgia" w:hAnsi="Georgia"/>
          <w:i w:val="0"/>
          <w:color w:val="111827"/>
          <w:sz w:val="22"/>
        </w:rPr>
        <w:t>The enhancement framework correctly prioritized preservation constraints over generative completion.</w:t>
      </w:r>
    </w:p>
    <w:p>
      <w:pPr>
        <w:spacing w:after="120"/>
      </w:pPr>
      <w:r>
        <w:rPr>
          <w:rFonts w:ascii="Georgia" w:hAnsi="Georgia"/>
          <w:i w:val="0"/>
          <w:color w:val="111827"/>
          <w:sz w:val="22"/>
        </w:rPr>
        <w:t>No factual claims, financial figures, or governance decisions were introduced beyond what the source material explicitly contained.</w:t>
      </w:r>
    </w:p>
    <w:p>
      <w:pPr>
        <w:spacing w:after="120"/>
      </w:pPr>
      <w:r>
        <w:rPr>
          <w:rFonts w:ascii="Georgia" w:hAnsi="Georgia"/>
          <w:i w:val="0"/>
          <w:color w:val="111827"/>
          <w:sz w:val="22"/>
        </w:rPr>
        <w:t>Citation integrity was maintained—only references traceable to the provided source artefact were included in output sections.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