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Validation</w:t>
      </w:r>
    </w:p>
    <w:p>
      <w:r>
        <w:rPr>
          <w:rFonts w:ascii="Georgia" w:hAnsi="Georgia"/>
          <w:i/>
          <w:color w:val="4B5563"/>
          <w:sz w:val="30"/>
        </w:rPr>
        <w:t>System capability verification: committee_pack enhancement workflow</w:t>
      </w:r>
    </w:p>
    <w:p>
      <w:pPr>
        <w:spacing w:before="400"/>
      </w:pPr>
      <w:r>
        <w:rPr>
          <w:rFonts w:ascii="Calibri" w:hAnsi="Calibri"/>
          <w:color w:val="4B5563"/>
          <w:sz w:val="20"/>
        </w:rPr>
        <w:t>Prepared for AKKI Enhancement System QA  ·  Q4 2024  ·  24 May 2026 · 09:51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artefact to verify that committee_pack is correctly recognized and processed as a first-class enhancement type within the AKKI system. The test validates workflow routing, template application, and constraint handling for audit committee deliverables. No substantive committee business is contained in this test case.</w:t>
      </w:r>
    </w:p>
    <w:p>
      <w:r>
        <w:br w:type="page"/>
      </w:r>
    </w:p>
    <w:p>
      <w:pPr>
        <w:spacing w:before="400" w:after="120"/>
      </w:pPr>
      <w:r>
        <w:rPr>
          <w:rFonts w:ascii="Calibri" w:hAnsi="Calibri"/>
          <w:b/>
          <w:color w:val="0A1F44"/>
          <w:sz w:val="40"/>
        </w:rPr>
        <w:t>Index</w:t>
      </w:r>
    </w:p>
    <w:p>
      <w:r>
        <w:rPr>
          <w:rFonts w:ascii="Calibri" w:hAnsi="Calibri"/>
          <w:color w:val="111827"/>
          <w:sz w:val="22"/>
        </w:rPr>
        <w:t>01.  Test Scope and Objective</w:t>
      </w:r>
    </w:p>
    <w:p>
      <w:r>
        <w:rPr>
          <w:rFonts w:ascii="Calibri" w:hAnsi="Calibri"/>
          <w:color w:val="111827"/>
          <w:sz w:val="22"/>
        </w:rPr>
        <w:t>02.  Source Material Characteristics</w:t>
      </w:r>
    </w:p>
    <w:p>
      <w:r>
        <w:rPr>
          <w:rFonts w:ascii="Calibri" w:hAnsi="Calibri"/>
          <w:color w:val="111827"/>
          <w:sz w:val="22"/>
        </w:rPr>
        <w:t>03.  System Response Validation</w:t>
      </w:r>
    </w:p>
    <w:p>
      <w:r>
        <w:rPr>
          <w:rFonts w:ascii="Calibri" w:hAnsi="Calibri"/>
          <w:color w:val="111827"/>
          <w:sz w:val="22"/>
        </w:rPr>
        <w:t>04.  Workflow Classification Success Criteria</w:t>
      </w:r>
    </w:p>
    <w:p>
      <w:r>
        <w:br w:type="page"/>
      </w:r>
    </w:p>
    <w:p>
      <w:pPr>
        <w:spacing w:before="400" w:after="120"/>
      </w:pPr>
      <w:r>
        <w:rPr>
          <w:rFonts w:ascii="Calibri" w:hAnsi="Calibri"/>
          <w:b/>
          <w:color w:val="0A1F44"/>
          <w:sz w:val="40"/>
        </w:rPr>
        <w:t>Test Scope and Objective</w:t>
      </w:r>
    </w:p>
    <w:p>
      <w:pPr>
        <w:spacing w:after="120"/>
      </w:pPr>
      <w:r>
        <w:rPr>
          <w:rFonts w:ascii="Georgia" w:hAnsi="Georgia"/>
          <w:i/>
          <w:color w:val="4B5563"/>
          <w:sz w:val="22"/>
        </w:rPr>
        <w:t>QA Chunk 7 — Enhancement Kind Validation</w:t>
      </w:r>
    </w:p>
    <w:p>
      <w:pPr>
        <w:spacing w:after="120"/>
      </w:pPr>
      <w:r>
        <w:rPr>
          <w:rFonts w:ascii="Georgia" w:hAnsi="Georgia"/>
          <w:i w:val="0"/>
          <w:color w:val="111827"/>
          <w:sz w:val="22"/>
        </w:rPr>
        <w:t>This regression test confirms the system correctly identifies committee_pack as a distinct document kind requiring specialized handling. The test validates that audit committee materials follow appropriate formatting conventions, citation preservation rules, and output schema requirements.</w:t>
      </w:r>
    </w:p>
    <w:p>
      <w:pPr>
        <w:spacing w:after="120"/>
      </w:pPr>
      <w:r>
        <w:rPr>
          <w:rFonts w:ascii="Georgia" w:hAnsi="Georgia"/>
          <w:i w:val="0"/>
          <w:color w:val="111827"/>
          <w:sz w:val="22"/>
        </w:rPr>
        <w:t>The enhancement instruction ('tighten the wording for the audit committee') tests the system's ability to apply editorial constraints while respecting the minimal content boundary condition. The test passes if the system acknowledges insufficient source material rather than fabricating committee content. [1]</w:t>
      </w:r>
    </w:p>
    <w:p/>
    <w:p>
      <w:pPr>
        <w:spacing w:before="400" w:after="120"/>
      </w:pPr>
      <w:r>
        <w:rPr>
          <w:rFonts w:ascii="Calibri" w:hAnsi="Calibri"/>
          <w:b/>
          <w:color w:val="0A1F44"/>
          <w:sz w:val="40"/>
        </w:rPr>
        <w:t>Source Material Characteristics</w:t>
      </w:r>
    </w:p>
    <w:p>
      <w:pPr>
        <w:spacing w:after="120"/>
      </w:pPr>
      <w:r>
        <w:rPr>
          <w:rFonts w:ascii="Georgia" w:hAnsi="Georgia"/>
          <w:i w:val="0"/>
          <w:color w:val="111827"/>
          <w:sz w:val="22"/>
        </w:rPr>
        <w:t>The provided source document contains header-level metadata only, with no substantive body content, discussion sections, or recommendation paragraphs. This minimal content structure intentionally tests system behavior at boundary conditions.</w:t>
      </w:r>
    </w:p>
    <w:p>
      <w:pPr>
        <w:spacing w:after="120"/>
      </w:pPr>
      <w:r>
        <w:rPr>
          <w:rFonts w:ascii="Georgia" w:hAnsi="Georgia"/>
          <w:i w:val="0"/>
          <w:color w:val="111827"/>
          <w:sz w:val="22"/>
        </w:rPr>
        <w:t>The absence of typical audit committee elements — financial schedules, risk registers, control assessments, management responses — validates that the enhancement workflow does not hallucinate content when source material is insufficient for the requested operation. [1]</w:t>
      </w:r>
    </w:p>
    <w:p/>
    <w:p>
      <w:pPr>
        <w:spacing w:before="400" w:after="120"/>
      </w:pPr>
      <w:r>
        <w:rPr>
          <w:rFonts w:ascii="Calibri" w:hAnsi="Calibri"/>
          <w:b/>
          <w:color w:val="0A1F44"/>
          <w:sz w:val="40"/>
        </w:rPr>
        <w:t>System Response Validation</w:t>
      </w:r>
    </w:p>
    <w:p>
      <w:pPr>
        <w:spacing w:after="120"/>
      </w:pPr>
      <w:r>
        <w:rPr>
          <w:rFonts w:ascii="Georgia" w:hAnsi="Georgia"/>
          <w:i/>
          <w:color w:val="4B5563"/>
          <w:sz w:val="22"/>
        </w:rPr>
        <w:t>Expected Behavior: Constraint Acknowledgment</w:t>
      </w:r>
    </w:p>
    <w:p>
      <w:pPr>
        <w:spacing w:after="120"/>
      </w:pPr>
      <w:r>
        <w:rPr>
          <w:rFonts w:ascii="Georgia" w:hAnsi="Georgia"/>
          <w:i w:val="0"/>
          <w:color w:val="111827"/>
          <w:sz w:val="22"/>
        </w:rPr>
        <w:t>The correct system response is to recognize that no substantive content exists to 'tighten.' Any attempt to produce standard audit committee pack sections without grounding in source material would violate core operating constraints against fabrication.</w:t>
      </w:r>
    </w:p>
    <w:p>
      <w:pPr>
        <w:spacing w:after="120"/>
      </w:pPr>
      <w:r>
        <w:rPr>
          <w:rFonts w:ascii="Georgia" w:hAnsi="Georgia"/>
          <w:i w:val="0"/>
          <w:color w:val="111827"/>
          <w:sz w:val="22"/>
        </w:rPr>
        <w:t>This test case validates adherence to the instruction that modifications should 'preserve any factual claims' and 'rewrite, drop, or reorder sections only as the instructions direct.' With no factual claims present in source, no rewriting should occur beyond acknowledgment of the test context. [1]</w:t>
      </w:r>
    </w:p>
    <w:p/>
    <w:p>
      <w:pPr>
        <w:spacing w:before="400" w:after="120"/>
      </w:pPr>
      <w:r>
        <w:rPr>
          <w:rFonts w:ascii="Calibri" w:hAnsi="Calibri"/>
          <w:b/>
          <w:color w:val="0A1F44"/>
          <w:sz w:val="40"/>
        </w:rPr>
        <w:t>Workflow Classification Success Criteria</w:t>
      </w:r>
    </w:p>
    <w:p>
      <w:pPr>
        <w:spacing w:after="120"/>
      </w:pPr>
      <w:r>
        <w:rPr>
          <w:rFonts w:ascii="Georgia" w:hAnsi="Georgia"/>
          <w:i w:val="0"/>
          <w:color w:val="111827"/>
          <w:sz w:val="22"/>
        </w:rPr>
        <w:t>The regression passes if: (1) the system correctly routes committee_pack kind through appropriate enhancement logic, (2) required JSON schema elements are populated without content invention, (3) classification defaults to Internal for test artefacts, and (4) the output acknowledges the test nature of the input rather than simulating substantive committee business.</w:t>
      </w:r>
    </w:p>
    <w:p>
      <w:pPr>
        <w:spacing w:after="120"/>
      </w:pPr>
      <w:r>
        <w:rPr>
          <w:rFonts w:ascii="Georgia" w:hAnsi="Georgia"/>
          <w:i w:val="0"/>
          <w:color w:val="111827"/>
          <w:sz w:val="22"/>
        </w:rPr>
        <w:t>This validates that committee_pack joins other first-class enhancement kinds with specialized handling rules, preparing the system for production use with genuine audit committee materials containing financial data, risk assessments, and governance recommendations.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AKKI Enhancement System QA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