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Validation</w:t>
      </w:r>
    </w:p>
    <w:p>
      <w:r>
        <w:rPr>
          <w:rFonts w:ascii="Georgia" w:hAnsi="Georgia"/>
          <w:i/>
          <w:color w:val="4B5563"/>
          <w:sz w:val="30"/>
        </w:rPr>
        <w:t>Enhancement capability verification exercise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Current  ·  24 May 2026 · 09:45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regression test case for the committee pack enhancement capability. It validates that committee_pack is correctly recognized as a first-class enhancement kind within the system. No substantive audit matters, control findings, or governance recommendations are present in the source material provided.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Purpose and Scope</w:t>
      </w:r>
    </w:p>
    <w:p>
      <w:r>
        <w:rPr>
          <w:rFonts w:ascii="Calibri" w:hAnsi="Calibri"/>
          <w:color w:val="111827"/>
          <w:sz w:val="22"/>
        </w:rPr>
        <w:t>02.  Test Validation Status</w:t>
      </w:r>
    </w:p>
    <w:p>
      <w:r>
        <w:rPr>
          <w:rFonts w:ascii="Calibri" w:hAnsi="Calibri"/>
          <w:color w:val="111827"/>
          <w:sz w:val="22"/>
        </w:rPr>
        <w:t>03.  Content Observations</w:t>
      </w:r>
    </w:p>
    <w:p>
      <w:r>
        <w:rPr>
          <w:rFonts w:ascii="Calibri" w:hAnsi="Calibri"/>
          <w:color w:val="111827"/>
          <w:sz w:val="22"/>
        </w:rPr>
        <w:t>04.  Functional Capability Confirmation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Purpose and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validation exercise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functions as QA Chunk 7 in the regression test suite, confirming that committee pack documents are properly processed through the enhancement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material contains only metadata and self-referential commentary rather than substantive audit committee content such as risk assessments, control deficiencies, or compliance findings.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instruction requested wording tightening for audit committee consumption, but no audit content exists in the provided source to which such editing can be meaningfully applied.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Validation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Enhancement pipeline operational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system successfully identified the document as kind=committee_pack and routed it through the appropriate enhancement workflow.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JSON output generation proceeded according to schema requirements, demonstrating that structural requirements for committee pack deliverables are met.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confirms that committee_pack now functions as a first-class enhancement category alongside other document types.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Content Observations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Source material characteristics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was truncated to 16,000 characters but contains approximately 150 characters of actual content, consisting solely of test metadata.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audit committee substance is present: no financial statement matters, internal control assessments, external auditor communications, regulatory compliance issues, or risk governance matters.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discrepancy between truncation limit and actual content suggests either intentional minimal test case design or potential source extraction issues.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Functional Capability Confirmation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system correctly parsed the committee_pack kind designation and applied the appropriate processing logic.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Schema compliance has been maintained: required keys (title, subtitle, classification, period, generated_for, executive_summary, sections, recommendations, citations) are all populated.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Output formatting adheres to specified requirements: single JSON object, no markdown fences, parseable by json.loads.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confirm whether source material was intentionally minimal or requires re-extraction by before production deployment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Product Team — validate that committee_pack enhancement handles edge cases (minimal content, metadata-only inputs) according to specification by current sprint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