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c>
          <w:tcPr>
            <w:tcW w:type="dxa" w:w="58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40"/>
            </w:pPr>
            <w:r>
              <w:rPr>
                <w:rFonts w:ascii="Calibri" w:cs="Calibri" w:eastAsia="Calibri" w:hAnsi="Calibri"/>
                <w:b/>
                <w:bCs/>
                <w:color w:val="0D1B2A"/>
                <w:sz w:val="56"/>
                <w:szCs w:val="56"/>
              </w:rPr>
              <w:t xml:space="preserve">LEMASY</w:t>
            </w:r>
          </w:p>
          <w:p>
            <w:pPr>
              <w:spacing w:after="40"/>
            </w:pPr>
            <w:r>
              <w:rPr>
                <w:rFonts w:ascii="Calibri" w:cs="Calibri" w:eastAsia="Calibri" w:hAnsi="Calibri"/>
                <w:color w:val="00B4D8"/>
                <w:sz w:val="22"/>
                <w:szCs w:val="22"/>
              </w:rPr>
              <w:t xml:space="preserve">AI Intelligence Solutions</w:t>
            </w:r>
          </w:p>
          <w:p>
            <w:pPr>
              <w:spacing w:after="40"/>
            </w:pPr>
            <w:r>
              <w:rPr>
                <w:rFonts w:ascii="Calibri" w:cs="Calibri" w:eastAsia="Calibri" w:hAnsi="Calibri"/>
                <w:color w:val="7B8FA6"/>
                <w:sz w:val="18"/>
                <w:szCs w:val="18"/>
              </w:rPr>
              <w:t xml:space="preserve">Nairobi, Kenya  |  Johannesburg, South Africa</w:t>
            </w:r>
          </w:p>
        </w:tc>
        <w:tc>
          <w:tcPr>
            <w:tcW w:type="dxa" w:w="3226"/>
            <w:tcBorders>
              <w:top w:val="none" w:color="FFFFFF" w:sz="0"/>
              <w:left w:val="none" w:color="FFFFFF" w:sz="0"/>
              <w:bottom w:val="none" w:color="FFFFFF" w:sz="0"/>
              <w:right w:val="none" w:color="FFFFFF" w:sz="0"/>
            </w:tcBorders>
            <w:tcMar>
              <w:top w:type="dxa" w:w="0"/>
              <w:left w:type="dxa" w:w="200"/>
              <w:bottom w:type="dxa" w:w="0"/>
              <w:right w:type="dxa" w:w="0"/>
            </w:tcMar>
            <w:vAlign w:val="bottom"/>
          </w:tcPr>
          <w:p>
            <w:pPr>
              <w:jc w:val="right"/>
            </w:pPr>
            <w:r>
              <w:rPr>
                <w:rFonts w:ascii="Calibri" w:cs="Calibri" w:eastAsia="Calibri" w:hAnsi="Calibri"/>
                <w:b/>
                <w:bCs/>
                <w:color w:val="00B4D8"/>
                <w:sz w:val="18"/>
                <w:szCs w:val="18"/>
              </w:rPr>
              <w:t xml:space="preserve">THREE-YEAR STRATEGIC REPORT</w:t>
            </w:r>
          </w:p>
          <w:p>
            <w:pPr>
              <w:spacing w:before="40"/>
              <w:jc w:val="right"/>
            </w:pPr>
            <w:r>
              <w:rPr>
                <w:rFonts w:ascii="Calibri" w:cs="Calibri" w:eastAsia="Calibri" w:hAnsi="Calibri"/>
                <w:color w:val="7B8FA6"/>
                <w:sz w:val="16"/>
                <w:szCs w:val="16"/>
              </w:rPr>
              <w:t xml:space="preserve">FY 2025 – FY 2027</w:t>
            </w:r>
          </w:p>
          <w:p>
            <w:pPr>
              <w:spacing w:before="20"/>
              <w:jc w:val="right"/>
            </w:pPr>
            <w:r>
              <w:rPr>
                <w:rFonts w:ascii="Calibri" w:cs="Calibri" w:eastAsia="Calibri" w:hAnsi="Calibri"/>
                <w:color w:val="7B8FA6"/>
                <w:sz w:val="15"/>
                <w:szCs w:val="15"/>
              </w:rPr>
              <w:t xml:space="preserve">Presented to the Board of Directors</w:t>
            </w:r>
          </w:p>
          <w:p>
            <w:pPr>
              <w:spacing w:before="20"/>
              <w:jc w:val="right"/>
            </w:pPr>
            <w:r>
              <w:rPr>
                <w:rFonts w:ascii="Calibri" w:cs="Calibri" w:eastAsia="Calibri" w:hAnsi="Calibri"/>
                <w:color w:val="7B8FA6"/>
                <w:sz w:val="15"/>
                <w:szCs w:val="15"/>
              </w:rPr>
              <w:t xml:space="preserve">28 March 2025</w:t>
            </w:r>
          </w:p>
        </w:tc>
      </w:tr>
    </w:tbl>
    <w:p>
      <w:pPr>
        <w:pBdr>
          <w:bottom w:val="single" w:color="00B4D8" w:sz="8" w:space="1"/>
        </w:pBdr>
        <w:spacing w:after="0"/>
      </w:pPr>
    </w:p>
    <w:p>
      <w:pPr>
        <w:spacing w:after="1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Prepared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Ms. Amara Osei-Bonsu — Chief Executive Officer &amp; Co-Founder</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Reviewed by</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Mr. Kwame Asante-Mensah (CFO)  |  Mr. Taiwo Adebisi (CCO)  |  Mr. Babajide Okafor (CTO)</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Submitted to</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Board of Directors — for approval and oversight</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Strategic Period</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FY 2025 (1 Jan 2025) — FY 2027 (31 Dec 2027)</w:t>
            </w:r>
          </w:p>
        </w:tc>
      </w:tr>
      <w:tr>
        <w:tc>
          <w:tcPr>
            <w:tcW w:type="dxa" w:w="1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D1B2A"/>
                <w:sz w:val="20"/>
                <w:szCs w:val="20"/>
              </w:rPr>
              <w:t xml:space="preserve">Classification</w:t>
            </w:r>
          </w:p>
        </w:tc>
        <w:tc>
          <w:tcPr>
            <w:tcW w:type="dxa" w:w="72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left"/>
            </w:pPr>
            <w:r>
              <w:rPr>
                <w:rFonts w:ascii="Calibri" w:cs="Calibri" w:eastAsia="Calibri" w:hAnsi="Calibri"/>
                <w:b/>
                <w:bCs/>
                <w:color w:val="C0392B"/>
                <w:sz w:val="20"/>
                <w:szCs w:val="20"/>
              </w:rPr>
              <w:t xml:space="preserve">STRICTLY CONFIDENTIAL — For Board Use Only</w:t>
            </w:r>
          </w:p>
        </w:tc>
      </w:tr>
    </w:tbl>
    <w:p>
      <w:pPr>
        <w:spacing w:after="200" w:before="0"/>
      </w:pPr>
    </w:p>
    <w:p>
      <w:pPr>
        <w:pStyle w:val="Heading1"/>
        <w:spacing w:after="140" w:before="400"/>
      </w:pPr>
      <w:r>
        <w:rPr>
          <w:rFonts w:ascii="Calibri" w:cs="Calibri" w:eastAsia="Calibri" w:hAnsi="Calibri"/>
          <w:b/>
          <w:bCs/>
          <w:color w:val="0D1B2A"/>
          <w:sz w:val="30"/>
          <w:szCs w:val="30"/>
        </w:rPr>
        <w:t xml:space="preserve">1.  Executive Summary</w:t>
      </w:r>
    </w:p>
    <w:p>
      <w:pPr>
        <w:spacing w:after="120" w:before="80"/>
        <w:jc w:val="both"/>
      </w:pPr>
      <w:r>
        <w:rPr>
          <w:rFonts w:ascii="Calibri" w:cs="Calibri" w:eastAsia="Calibri" w:hAnsi="Calibri"/>
          <w:b w:val="false"/>
          <w:bCs w:val="false"/>
          <w:color w:val="1A1A2E"/>
          <w:sz w:val="22"/>
          <w:szCs w:val="22"/>
        </w:rPr>
        <w:t xml:space="preserve">This Three-Year Strategic Report sets out Lemasy's growth and operational strategy for the period FY 2025 to FY 2027. It is submitted to the Board of Directors for formal review and approval, and will serve as the primary reference document against which the CEO's performance, annual budgets, and quarterly board reviews will be benchmarked.</w:t>
      </w:r>
    </w:p>
    <w:p>
      <w:pPr>
        <w:spacing w:after="80" w:before="0"/>
      </w:pPr>
    </w:p>
    <w:p>
      <w:pPr>
        <w:spacing w:after="120" w:before="80"/>
        <w:jc w:val="both"/>
      </w:pPr>
      <w:r>
        <w:rPr>
          <w:rFonts w:ascii="Calibri" w:cs="Calibri" w:eastAsia="Calibri" w:hAnsi="Calibri"/>
          <w:b w:val="false"/>
          <w:bCs w:val="false"/>
          <w:color w:val="1A1A2E"/>
          <w:sz w:val="22"/>
          <w:szCs w:val="22"/>
        </w:rPr>
        <w:t xml:space="preserve">Lemasy enters FY 2025 in the strongest commercial position in its history. Q1 2025 revenue of USD 2.14M — the first quarter exceeding USD 2M — and ARR of USD 4.80M validate the company's positioning as the leading AI intelligence solutions provider for financial services in Eastern and Southern Africa. The strategic imperative for FY 2025–2027 is to translate this early momentum into a durable, scalable, and operationally excellent business that commands its category.</w:t>
      </w:r>
    </w:p>
    <w:p>
      <w:pPr>
        <w:spacing w:after="80" w:before="0"/>
      </w:pPr>
    </w:p>
    <w:p>
      <w:pPr>
        <w:spacing w:after="120" w:before="80"/>
        <w:jc w:val="both"/>
      </w:pPr>
      <w:r>
        <w:rPr>
          <w:rFonts w:ascii="Calibri" w:cs="Calibri" w:eastAsia="Calibri" w:hAnsi="Calibri"/>
          <w:b w:val="false"/>
          <w:bCs w:val="false"/>
          <w:color w:val="1A1A2E"/>
          <w:sz w:val="22"/>
          <w:szCs w:val="22"/>
        </w:rPr>
        <w:t xml:space="preserve">The strategy rests on two equally weighted pillars — Growth and Operational Excellence — which the board and executive team have agreed are not in tension but are mutually reinforcing. We cannot grow sustainably without operational excellence; and operational excellence without growth ambition produces stagnation. The two must advance together.</w:t>
      </w:r>
    </w:p>
    <w:p>
      <w:pPr>
        <w:spacing w:after="1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ARR Target
FY 2027</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Revenue Target
FY 2027</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EBITDA Margin
FY 2027 Target</w:t>
            </w:r>
          </w:p>
        </w:tc>
        <w:tc>
          <w:tcPr>
            <w:tcW w:type="dxa" w:w="1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Active Enterprise
Clients FY 2027</w:t>
            </w:r>
          </w:p>
        </w:tc>
        <w:tc>
          <w:tcPr>
            <w:tcW w:type="dxa" w:w="18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Markets
FY 2027</w:t>
            </w:r>
          </w:p>
        </w:tc>
      </w:tr>
      <w:tr>
        <w:tc>
          <w:tcPr>
            <w:tcW w:type="dxa" w:w="18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00B4D8"/>
                <w:sz w:val="28"/>
                <w:szCs w:val="28"/>
              </w:rPr>
              <w:t xml:space="preserve">USD 18M</w:t>
            </w:r>
          </w:p>
        </w:tc>
        <w:tc>
          <w:tcPr>
            <w:tcW w:type="dxa" w:w="18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0D1B2A"/>
                <w:sz w:val="26"/>
                <w:szCs w:val="26"/>
              </w:rPr>
              <w:t xml:space="preserve">USD 22M</w:t>
            </w:r>
          </w:p>
        </w:tc>
        <w:tc>
          <w:tcPr>
            <w:tcW w:type="dxa" w:w="18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0D1B2A"/>
                <w:sz w:val="26"/>
                <w:szCs w:val="26"/>
              </w:rPr>
              <w:t xml:space="preserve">≥ 25%</w:t>
            </w:r>
          </w:p>
        </w:tc>
        <w:tc>
          <w:tcPr>
            <w:tcW w:type="dxa" w:w="1800"/>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0D1B2A"/>
                <w:sz w:val="26"/>
                <w:szCs w:val="26"/>
              </w:rPr>
              <w:t xml:space="preserve">35+</w:t>
            </w:r>
          </w:p>
        </w:tc>
        <w:tc>
          <w:tcPr>
            <w:tcW w:type="dxa" w:w="1826"/>
            <w:tcBorders>
              <w:top w:val="single" w:color="CDD8E3" w:sz="1"/>
              <w:left w:val="single" w:color="CDD8E3" w:sz="1"/>
              <w:bottom w:val="single" w:color="CDD8E3" w:sz="1"/>
              <w:right w:val="single" w:color="CDD8E3" w:sz="1"/>
            </w:tcBorders>
            <w:tcMar>
              <w:top w:type="dxa" w:w="100"/>
              <w:left w:type="dxa" w:w="140"/>
              <w:bottom w:type="dxa" w:w="100"/>
              <w:right w:type="dxa" w:w="140"/>
            </w:tcMar>
            <w:vAlign w:val="top"/>
          </w:tcPr>
          <w:p>
            <w:pPr>
              <w:jc w:val="center"/>
            </w:pPr>
            <w:r>
              <w:rPr>
                <w:rFonts w:ascii="Calibri" w:cs="Calibri" w:eastAsia="Calibri" w:hAnsi="Calibri"/>
                <w:b/>
                <w:bCs/>
                <w:color w:val="0D1B2A"/>
                <w:sz w:val="22"/>
                <w:szCs w:val="22"/>
              </w:rPr>
              <w:t xml:space="preserve">4 (KE, SA,
NG, GH)</w:t>
            </w:r>
          </w:p>
        </w:tc>
      </w:tr>
    </w:tbl>
    <w:p>
      <w:pPr>
        <w:spacing w:after="80" w:before="0"/>
      </w:pPr>
    </w:p>
    <w:p>
      <w:pPr>
        <w:spacing w:after="120" w:before="80"/>
        <w:jc w:val="both"/>
      </w:pPr>
      <w:r>
        <w:rPr>
          <w:rFonts w:ascii="Calibri" w:cs="Calibri" w:eastAsia="Calibri" w:hAnsi="Calibri"/>
          <w:color w:val="7B8FA6"/>
          <w:sz w:val="22"/>
          <w:szCs w:val="22"/>
        </w:rPr>
        <w:t xml:space="preserve">The FY 2027 targets represent a 3.75x growth in ARR from the FY 2025 starting point of USD 4.80M — ambitious but achievable based on the pipeline, product trajectory, and market dynamics set out in this report.</w:t>
      </w:r>
    </w:p>
    <w:p>
      <w:pPr>
        <w:spacing w:after="200" w:before="0"/>
      </w:pPr>
    </w:p>
    <w:p>
      <w:pPr>
        <w:pStyle w:val="Heading1"/>
        <w:spacing w:after="140" w:before="400"/>
      </w:pPr>
      <w:r>
        <w:rPr>
          <w:rFonts w:ascii="Calibri" w:cs="Calibri" w:eastAsia="Calibri" w:hAnsi="Calibri"/>
          <w:b/>
          <w:bCs/>
          <w:color w:val="0D1B2A"/>
          <w:sz w:val="30"/>
          <w:szCs w:val="30"/>
        </w:rPr>
        <w:t xml:space="preserve">2.  Strategic Context &amp; Market Opportunity</w:t>
      </w:r>
    </w:p>
    <w:p>
      <w:pPr>
        <w:pStyle w:val="Heading2"/>
        <w:spacing w:after="100" w:before="280"/>
      </w:pPr>
      <w:r>
        <w:rPr>
          <w:rFonts w:ascii="Calibri" w:cs="Calibri" w:eastAsia="Calibri" w:hAnsi="Calibri"/>
          <w:b/>
          <w:bCs/>
          <w:color w:val="1E3A5F"/>
          <w:sz w:val="24"/>
          <w:szCs w:val="24"/>
        </w:rPr>
        <w:t xml:space="preserve">2.1  Where We Are Today</w:t>
      </w:r>
    </w:p>
    <w:p>
      <w:pPr>
        <w:spacing w:after="120" w:before="80"/>
        <w:jc w:val="both"/>
      </w:pPr>
      <w:r>
        <w:rPr>
          <w:rFonts w:ascii="Calibri" w:cs="Calibri" w:eastAsia="Calibri" w:hAnsi="Calibri"/>
          <w:b w:val="false"/>
          <w:bCs w:val="false"/>
          <w:color w:val="1A1A2E"/>
          <w:sz w:val="22"/>
          <w:szCs w:val="22"/>
        </w:rPr>
        <w:t xml:space="preserve">Lemasy was founded to solve a specific, high-value problem: African financial institutions — banks, insurers, telecoms, and fintechs — generate enormous volumes of transactional and behavioural data but lack the AI infrastructure, domain expertise, and localised training data to convert that data into actionable intelligence. International AI vendors offer general-purpose platforms that are not trained on African financial data, do not understand local regulatory requirements, and are priced for Fortune 500 budgets. Local technology firms lack the AI engineering depth to build production-grade models.</w:t>
      </w:r>
    </w:p>
    <w:p>
      <w:pPr>
        <w:spacing w:after="80" w:before="0"/>
      </w:pPr>
    </w:p>
    <w:p>
      <w:pPr>
        <w:spacing w:after="120" w:before="80"/>
        <w:jc w:val="both"/>
      </w:pPr>
      <w:r>
        <w:rPr>
          <w:rFonts w:ascii="Calibri" w:cs="Calibri" w:eastAsia="Calibri" w:hAnsi="Calibri"/>
          <w:b w:val="false"/>
          <w:bCs w:val="false"/>
          <w:color w:val="1A1A2E"/>
          <w:sz w:val="22"/>
          <w:szCs w:val="22"/>
        </w:rPr>
        <w:t xml:space="preserve">Lemasy fills this gap. Our Cortex Intelligence Platform is the only production-grade AI intelligence platform purpose-built for African financial services, with domain-specific models trained on African credit, fraud, KYC, and insurance data. This is our moat — and it is deepening with every client engagement.</w:t>
      </w:r>
    </w:p>
    <w:p>
      <w:pPr>
        <w:spacing w:after="120" w:before="0"/>
      </w:pPr>
    </w:p>
    <w:p>
      <w:pPr>
        <w:pStyle w:val="Heading2"/>
        <w:spacing w:after="100" w:before="280"/>
      </w:pPr>
      <w:r>
        <w:rPr>
          <w:rFonts w:ascii="Calibri" w:cs="Calibri" w:eastAsia="Calibri" w:hAnsi="Calibri"/>
          <w:b/>
          <w:bCs/>
          <w:color w:val="1E3A5F"/>
          <w:sz w:val="24"/>
          <w:szCs w:val="24"/>
        </w:rPr>
        <w:t xml:space="preserve">2.2  Market Opportunity — FY 2025 to FY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c>
          <w:tcPr>
            <w:tcW w:type="dxa" w:w="3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Market</w:t>
            </w:r>
          </w:p>
        </w:tc>
        <w:tc>
          <w:tcPr>
            <w:tcW w:type="dxa" w:w="3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Total Addressable Market (TAM)</w:t>
            </w:r>
          </w:p>
        </w:tc>
        <w:tc>
          <w:tcPr>
            <w:tcW w:type="dxa" w:w="28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Lemasy's Current Position</w:t>
            </w:r>
          </w:p>
        </w:tc>
      </w:tr>
      <w:tr>
        <w:tc>
          <w:tcPr>
            <w:tcW w:type="dxa" w:w="3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Kenya — Financial Services AI</w:t>
            </w:r>
          </w:p>
        </w:tc>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280M TAM by 2027 (Stanbic Research)</w:t>
            </w:r>
          </w:p>
        </w:tc>
        <w:tc>
          <w:tcPr>
            <w:tcW w:type="dxa" w:w="2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Market leader — 9 active enterprise clients</w:t>
            </w:r>
          </w:p>
        </w:tc>
      </w:tr>
      <w:tr>
        <w:tc>
          <w:tcPr>
            <w:tcW w:type="dxa" w:w="3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South Africa — Financial Services AI</w:t>
            </w:r>
          </w:p>
        </w:tc>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920M TAM by 2027 (Deloitte SA)</w:t>
            </w:r>
          </w:p>
        </w:tc>
        <w:tc>
          <w:tcPr>
            <w:tcW w:type="dxa" w:w="2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Early mover — 5 active enterprise clients</w:t>
            </w:r>
          </w:p>
        </w:tc>
      </w:tr>
      <w:tr>
        <w:tc>
          <w:tcPr>
            <w:tcW w:type="dxa" w:w="3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Nigeria — Financial Services AI</w:t>
            </w:r>
          </w:p>
        </w:tc>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640M TAM by 2027</w:t>
            </w:r>
          </w:p>
        </w:tc>
        <w:tc>
          <w:tcPr>
            <w:tcW w:type="dxa" w:w="2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Entry planned FY 2026</w:t>
            </w:r>
          </w:p>
        </w:tc>
      </w:tr>
      <w:tr>
        <w:tc>
          <w:tcPr>
            <w:tcW w:type="dxa" w:w="3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Ghana — Financial Services AI</w:t>
            </w:r>
          </w:p>
        </w:tc>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180M TAM by 2027</w:t>
            </w:r>
          </w:p>
        </w:tc>
        <w:tc>
          <w:tcPr>
            <w:tcW w:type="dxa" w:w="2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Entry planned FY 2027</w:t>
            </w:r>
          </w:p>
        </w:tc>
      </w:tr>
      <w:tr>
        <w:tc>
          <w:tcPr>
            <w:tcW w:type="dxa" w:w="3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Pan-African Insurance AI</w:t>
            </w:r>
          </w:p>
        </w:tc>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340M TAM by 2027</w:t>
            </w:r>
          </w:p>
        </w:tc>
        <w:tc>
          <w:tcPr>
            <w:tcW w:type="dxa" w:w="2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Active in KE and SA — expanding</w:t>
            </w:r>
          </w:p>
        </w:tc>
      </w:tr>
    </w:tbl>
    <w:p>
      <w:pPr>
        <w:spacing w:after="100" w:before="0"/>
      </w:pPr>
    </w:p>
    <w:p>
      <w:pPr>
        <w:spacing w:after="120" w:before="80"/>
        <w:jc w:val="both"/>
      </w:pPr>
      <w:r>
        <w:rPr>
          <w:rFonts w:ascii="Calibri" w:cs="Calibri" w:eastAsia="Calibri" w:hAnsi="Calibri"/>
          <w:b w:val="false"/>
          <w:bCs w:val="false"/>
          <w:color w:val="1A1A2E"/>
          <w:sz w:val="22"/>
          <w:szCs w:val="22"/>
        </w:rPr>
        <w:t xml:space="preserve">The African financial services AI market is in its earliest innings. The CBK guidance note on AI in credit decisioning (February 2025) and the FSCA discussion paper on responsible AI (Q1 2025) signal that regulation is beginning to formalise — which historically accelerates enterprise AI adoption as institutions seek compliant, auditable solutions. Lemasy's explainability dashboards and AI Ethics Policy are positioned precisely for this regulatory environment.</w:t>
      </w:r>
    </w:p>
    <w:p>
      <w:pPr>
        <w:spacing w:after="120" w:before="0"/>
      </w:pPr>
    </w:p>
    <w:p>
      <w:pPr>
        <w:pStyle w:val="Heading2"/>
        <w:spacing w:after="100" w:before="280"/>
      </w:pPr>
      <w:r>
        <w:rPr>
          <w:rFonts w:ascii="Calibri" w:cs="Calibri" w:eastAsia="Calibri" w:hAnsi="Calibri"/>
          <w:b/>
          <w:bCs/>
          <w:color w:val="1E3A5F"/>
          <w:sz w:val="24"/>
          <w:szCs w:val="24"/>
        </w:rPr>
        <w:t xml:space="preserve">2.3  Competitive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Competitor Type</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Examples</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Threat Level</w:t>
            </w:r>
          </w:p>
        </w:tc>
        <w:tc>
          <w:tcPr>
            <w:tcW w:type="dxa" w:w="28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Lemasy Competitive Advantage</w:t>
            </w:r>
          </w:p>
        </w:tc>
      </w:tr>
      <w:tr>
        <w:tc>
          <w:tcPr>
            <w:tcW w:type="dxa" w:w="2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Global AI Vendors</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McKinsey QuantumBlack, Palantir, DataRobot</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D4891A"/>
                <w:sz w:val="20"/>
                <w:szCs w:val="20"/>
              </w:rPr>
              <w:t xml:space="preserve">Medium — High ACV, slow</w:t>
            </w:r>
          </w:p>
        </w:tc>
        <w:tc>
          <w:tcPr>
            <w:tcW w:type="dxa" w:w="2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African data, local expertise, faster implementation, 3–5x lower price</w:t>
            </w:r>
          </w:p>
        </w:tc>
      </w:tr>
      <w:tr>
        <w:tc>
          <w:tcPr>
            <w:tcW w:type="dxa" w:w="2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Hyperscaler AI Products</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AWS Bedrock, Azure OpenAI, Google Vertex AI</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D4891A"/>
                <w:sz w:val="20"/>
                <w:szCs w:val="20"/>
              </w:rPr>
              <w:t xml:space="preserve">Low-Medium — general purpose</w:t>
            </w:r>
          </w:p>
        </w:tc>
        <w:tc>
          <w:tcPr>
            <w:tcW w:type="dxa" w:w="2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Domain-specific African models, regulatory compliance, embedded support</w:t>
            </w:r>
          </w:p>
        </w:tc>
      </w:tr>
      <w:tr>
        <w:tc>
          <w:tcPr>
            <w:tcW w:type="dxa" w:w="2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African Tech Firms</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Asilimia, Pezesha AI, FlexFinance</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D7A55"/>
                <w:sz w:val="20"/>
                <w:szCs w:val="20"/>
              </w:rPr>
              <w:t xml:space="preserve">Low — different segment</w:t>
            </w:r>
          </w:p>
        </w:tc>
        <w:tc>
          <w:tcPr>
            <w:tcW w:type="dxa" w:w="2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Enterprise scale, Cortex platform depth, ISO 27001, multi-market presence</w:t>
            </w:r>
          </w:p>
        </w:tc>
      </w:tr>
      <w:tr>
        <w:tc>
          <w:tcPr>
            <w:tcW w:type="dxa" w:w="2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In-House Build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Bank/insurer internal teams</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D4891A"/>
                <w:sz w:val="20"/>
                <w:szCs w:val="20"/>
              </w:rPr>
              <w:t xml:space="preserve">Medium — for largest clients</w:t>
            </w:r>
          </w:p>
        </w:tc>
        <w:tc>
          <w:tcPr>
            <w:tcW w:type="dxa" w:w="2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Speed to value (6–12 weeks vs 18–24 months), proprietary data, ongoing innovation</w:t>
            </w:r>
          </w:p>
        </w:tc>
      </w:tr>
    </w:tbl>
    <w:p>
      <w:pPr>
        <w:spacing w:after="200" w:before="0"/>
      </w:pPr>
    </w:p>
    <w:p>
      <w:pPr>
        <w:pStyle w:val="Heading1"/>
        <w:spacing w:after="140" w:before="400"/>
      </w:pPr>
      <w:r>
        <w:rPr>
          <w:rFonts w:ascii="Calibri" w:cs="Calibri" w:eastAsia="Calibri" w:hAnsi="Calibri"/>
          <w:b/>
          <w:bCs/>
          <w:color w:val="0D1B2A"/>
          <w:sz w:val="30"/>
          <w:szCs w:val="30"/>
        </w:rPr>
        <w:t xml:space="preserve">3.  Strategic Pillars — FY 2025 to FY 2027</w:t>
      </w:r>
    </w:p>
    <w:p>
      <w:pPr>
        <w:spacing w:after="120" w:before="80"/>
        <w:jc w:val="both"/>
      </w:pPr>
      <w:r>
        <w:rPr>
          <w:rFonts w:ascii="Calibri" w:cs="Calibri" w:eastAsia="Calibri" w:hAnsi="Calibri"/>
          <w:b w:val="false"/>
          <w:bCs w:val="false"/>
          <w:color w:val="1A1A2E"/>
          <w:sz w:val="22"/>
          <w:szCs w:val="22"/>
        </w:rPr>
        <w:t xml:space="preserve">The strategy is organised around two equally weighted pillars, each with three specific strategic thrusts. Together, the six thrusts define where Lemasy will focus its energy, capital, and leadership attention over the three-year period.</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CDD8E3" w:sz="1"/>
              <w:left w:val="single" w:color="CDD8E3" w:sz="1"/>
              <w:bottom w:val="single" w:color="CDD8E3" w:sz="1"/>
              <w:right w:val="single" w:color="CDD8E3" w:sz="1"/>
            </w:tcBorders>
            <w:shd w:fill="0A3D62"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PILLAR A — GROWTH</w:t>
            </w:r>
          </w:p>
        </w:tc>
        <w:tc>
          <w:tcPr>
            <w:tcW w:type="dxa" w:w="46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PILLAR B — OPERATIONAL EXCELLENCE</w:t>
            </w:r>
          </w:p>
        </w:tc>
      </w:tr>
      <w:tr>
        <w:tc>
          <w:tcPr>
            <w:tcW w:type="dxa" w:w="4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tcPr>
          <w:p>
            <w:pPr>
              <w:pStyle w:val="ListParagraph"/>
              <w:numPr>
                <w:ilvl w:val="0"/>
                <w:numId w:val="2"/>
              </w:numPr>
              <w:spacing w:after="60" w:before="60"/>
            </w:pPr>
            <w:r>
              <w:rPr>
                <w:rFonts w:ascii="Calibri" w:cs="Calibri" w:eastAsia="Calibri" w:hAnsi="Calibri"/>
                <w:color w:val="1A1A2E"/>
                <w:sz w:val="20"/>
                <w:szCs w:val="20"/>
              </w:rPr>
              <w:t xml:space="preserve">A1 — Geographic Expansion into Nigeria and Ghana</w:t>
            </w:r>
          </w:p>
          <w:p>
            <w:pPr>
              <w:pStyle w:val="ListParagraph"/>
              <w:numPr>
                <w:ilvl w:val="0"/>
                <w:numId w:val="2"/>
              </w:numPr>
              <w:spacing w:after="60" w:before="60"/>
            </w:pPr>
            <w:r>
              <w:rPr>
                <w:rFonts w:ascii="Calibri" w:cs="Calibri" w:eastAsia="Calibri" w:hAnsi="Calibri"/>
                <w:color w:val="1A1A2E"/>
                <w:sz w:val="20"/>
                <w:szCs w:val="20"/>
              </w:rPr>
              <w:t xml:space="preserve">A2 — Product Evolution: From Platform to Ecosystem</w:t>
            </w:r>
          </w:p>
          <w:p>
            <w:pPr>
              <w:pStyle w:val="ListParagraph"/>
              <w:numPr>
                <w:ilvl w:val="0"/>
                <w:numId w:val="2"/>
              </w:numPr>
              <w:spacing w:after="60" w:before="60"/>
            </w:pPr>
            <w:r>
              <w:rPr>
                <w:rFonts w:ascii="Calibri" w:cs="Calibri" w:eastAsia="Calibri" w:hAnsi="Calibri"/>
                <w:color w:val="1A1A2E"/>
                <w:sz w:val="20"/>
                <w:szCs w:val="20"/>
              </w:rPr>
              <w:t xml:space="preserve">A3 — Enterprise Client Depth and Sector Diversification</w:t>
            </w:r>
          </w:p>
        </w:tc>
        <w:tc>
          <w:tcPr>
            <w:tcW w:type="dxa" w:w="46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tcPr>
          <w:p>
            <w:pPr>
              <w:pStyle w:val="ListParagraph"/>
              <w:numPr>
                <w:ilvl w:val="0"/>
                <w:numId w:val="2"/>
              </w:numPr>
              <w:spacing w:after="60" w:before="60"/>
            </w:pPr>
            <w:r>
              <w:rPr>
                <w:rFonts w:ascii="Calibri" w:cs="Calibri" w:eastAsia="Calibri" w:hAnsi="Calibri"/>
                <w:color w:val="1A1A2E"/>
                <w:sz w:val="20"/>
                <w:szCs w:val="20"/>
              </w:rPr>
              <w:t xml:space="preserve">B1 — Engineering Talent: Build the Deepest AI Team in Africa</w:t>
            </w:r>
          </w:p>
          <w:p>
            <w:pPr>
              <w:pStyle w:val="ListParagraph"/>
              <w:numPr>
                <w:ilvl w:val="0"/>
                <w:numId w:val="2"/>
              </w:numPr>
              <w:spacing w:after="60" w:before="60"/>
            </w:pPr>
            <w:r>
              <w:rPr>
                <w:rFonts w:ascii="Calibri" w:cs="Calibri" w:eastAsia="Calibri" w:hAnsi="Calibri"/>
                <w:color w:val="1A1A2E"/>
                <w:sz w:val="20"/>
                <w:szCs w:val="20"/>
              </w:rPr>
              <w:t xml:space="preserve">B2 — Platform Excellence: Cortex as a World-Class AI Infrastructure</w:t>
            </w:r>
          </w:p>
          <w:p>
            <w:pPr>
              <w:pStyle w:val="ListParagraph"/>
              <w:numPr>
                <w:ilvl w:val="0"/>
                <w:numId w:val="2"/>
              </w:numPr>
              <w:spacing w:after="60" w:before="60"/>
            </w:pPr>
            <w:r>
              <w:rPr>
                <w:rFonts w:ascii="Calibri" w:cs="Calibri" w:eastAsia="Calibri" w:hAnsi="Calibri"/>
                <w:color w:val="1A1A2E"/>
                <w:sz w:val="20"/>
                <w:szCs w:val="20"/>
              </w:rPr>
              <w:t xml:space="preserve">B3 — Governance, Trust, and Regulatory Leadership</w:t>
            </w:r>
          </w:p>
        </w:tc>
      </w:tr>
    </w:tbl>
    <w:p>
      <w:pPr>
        <w:spacing w:after="160" w:before="0"/>
      </w:pPr>
    </w:p>
    <w:p>
      <w:pPr>
        <w:pStyle w:val="Heading2"/>
        <w:spacing w:after="100" w:before="280"/>
      </w:pPr>
      <w:r>
        <w:rPr>
          <w:rFonts w:ascii="Calibri" w:cs="Calibri" w:eastAsia="Calibri" w:hAnsi="Calibri"/>
          <w:b/>
          <w:bCs/>
          <w:color w:val="1E3A5F"/>
          <w:sz w:val="24"/>
          <w:szCs w:val="24"/>
        </w:rPr>
        <w:t xml:space="preserve">3.1  Pillar A — Growth</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none" w:color="FFFFFF" w:sz="0"/>
              <w:right w:val="single" w:color="CDD8E3" w:sz="1"/>
            </w:tcBorders>
            <w:shd w:fill="0A3D62" w:val="clear"/>
            <w:tcMar>
              <w:top w:type="dxa" w:w="100"/>
              <w:left w:type="dxa" w:w="200"/>
              <w:bottom w:type="dxa" w:w="100"/>
              <w:right w:type="dxa" w:w="140"/>
            </w:tcMar>
          </w:tcPr>
          <w:p>
            <w:r>
              <w:rPr>
                <w:rFonts w:ascii="Calibri" w:cs="Calibri" w:eastAsia="Calibri" w:hAnsi="Calibri"/>
                <w:b/>
                <w:bCs/>
                <w:color w:val="FFFFFF"/>
                <w:sz w:val="22"/>
                <w:szCs w:val="22"/>
              </w:rPr>
              <w:t xml:space="preserve">A1 — Geographic Expansion: Nigeria and Ghana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Rationale: Kenya and South Africa together represent a TAM of USD 1.2B by 2027. Nigeria (USD 640M) and Ghana (USD 180M) represent the next tier of African financial services AI opportunity. Both markets have large, sophisticated banking sectors — GTBank, Access Bank, Zenith Bank in Nigeria; GCB, Absa Ghana, Ecobank in Ghana — that mirror our existing client profile.</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2026 — Nigeria Entry: Establish a commercial representative in Lagos. Target 2 anchor clients in H1 FY 2026, leveraging existing Absa and Old Mutual relationships for warm introductions into their Nigerian operations. Do not hire local engineering — deliver from Nairobi hub.</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FY 2027 — Ghana Entry: Follow Nigeria playbook. Ghana's regulatory environment (Bank of Ghana AI framework expected 2026) creates a near-term window. Target 2 clients in FY 2027.</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Investment Required: USD 0.4M (FY 2026 Nigeria) + USD 0.3M (FY 2027 Ghana) — commercial salaries, travel, legal entity setup, and initial client delivery support.</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Risk Mitigation: Entry is sales-led, not hiring-led. No permanent staff are hired in a new market until 3 signed clients exist. Nigeria and Ghana are additive — Kenya and SA must remain profitable before expansion capital is deployed.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none" w:color="FFFFFF" w:sz="0"/>
              <w:right w:val="single" w:color="CDD8E3" w:sz="1"/>
            </w:tcBorders>
            <w:shd w:fill="0A3D62" w:val="clear"/>
            <w:tcMar>
              <w:top w:type="dxa" w:w="100"/>
              <w:left w:type="dxa" w:w="200"/>
              <w:bottom w:type="dxa" w:w="100"/>
              <w:right w:type="dxa" w:w="140"/>
            </w:tcMar>
          </w:tcPr>
          <w:p>
            <w:r>
              <w:rPr>
                <w:rFonts w:ascii="Calibri" w:cs="Calibri" w:eastAsia="Calibri" w:hAnsi="Calibri"/>
                <w:b/>
                <w:bCs/>
                <w:color w:val="FFFFFF"/>
                <w:sz w:val="22"/>
                <w:szCs w:val="22"/>
              </w:rPr>
              <w:t xml:space="preserve">A2 — Product Evolution: From Platform to Ecosystem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Rationale: Cortex today is a deployment platform — clients engage Lemasy to deploy AI models. The strategic opportunity is to evolve Cortex into an ecosystem: a platform that clients, partners, and developers build on top of, creating network effects and reducing churn to near-zero.</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2025 — Lemasy Insights API (Q3 2025): A lightweight developer API enabling clients to embed Cortex models directly in their own applications. This opens the mid-market (banks and fintechs below USD 200K ACV) and creates a consumption-based revenue model alongside the subscription base.</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FY 2026 — Cortex Data Exchange: A privacy-preserving, federated learning environment where multiple clients contribute anonymised training data and receive improved model accuracy in return. This deepens Lemasy's African financial data moat — the single most defensible long-term competitive advantage.</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2027 — Lemasy Certified Partner Programme: Third-party system integrators (Accenture Africa, local consultancies) certified to implement Cortex on behalf of clients. This multiplies distribution without multiplying Lemasy's headcount, enabling revenue growth to outpace cost growth.</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Investment Required: USD 0.8M (FY 2026 Cortex Data Exchange) + USD 0.4M (FY 2027 Partner Programme infrastructure).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none" w:color="FFFFFF" w:sz="0"/>
              <w:right w:val="single" w:color="CDD8E3" w:sz="1"/>
            </w:tcBorders>
            <w:shd w:fill="0A3D62" w:val="clear"/>
            <w:tcMar>
              <w:top w:type="dxa" w:w="100"/>
              <w:left w:type="dxa" w:w="200"/>
              <w:bottom w:type="dxa" w:w="100"/>
              <w:right w:type="dxa" w:w="140"/>
            </w:tcMar>
          </w:tcPr>
          <w:p>
            <w:r>
              <w:rPr>
                <w:rFonts w:ascii="Calibri" w:cs="Calibri" w:eastAsia="Calibri" w:hAnsi="Calibri"/>
                <w:b/>
                <w:bCs/>
                <w:color w:val="FFFFFF"/>
                <w:sz w:val="22"/>
                <w:szCs w:val="22"/>
              </w:rPr>
              <w:t xml:space="preserve">A3 — Enterprise Client Depth and Sector Diversification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Rationale: Banking accounts for 46% of Q1 2025 revenue. While we will continue to grow in banking, over-concentration in a single sector creates risk. The FY 2025–2027 strategy targets 60% banking / 40% insurance, telecoms, and public sector by FY 2027.</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Banking (deepen): Close FirstRand (USD 0.9M ACV), Stanbic Kenya (USD 0.48M), and Co-op Bank in FY 2025. Expand existing Equity Bank and KCB relationships into new business units. Target 18 banking clients by FY 2027 across 4 markets.</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Insurance (grow): Old Mutual and Sanlam provide the template. Target 3 more African insurers in FY 2026 — Britam Kenya, Discovery SA, and UAP Group. Insurance AI (underwriting, claims fraud, actuarial modelling) is underserved and high-margin.</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Telecoms (sustain): Safaricom and MTN relationships provide the springboard. Target 2 additional telco clients in FY 2026 — Airtel Africa and Orange Africa — for churn prediction and revenue assurance AI.</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Public Sector (new): African Development Bank, World Bank IFC, and national revenue authorities represent a nascent but growing AI opportunity. Target 2 public sector clients by FY 2027 — lower ACV but high strategic value and contract predictability.</w:t>
            </w:r>
          </w:p>
        </w:tc>
      </w:tr>
    </w:tbl>
    <w:p>
      <w:pPr>
        <w:spacing w:after="120" w:before="0"/>
      </w:pPr>
    </w:p>
    <w:p>
      <w:pPr>
        <w:spacing w:after="60" w:before="0"/>
      </w:pPr>
    </w:p>
    <w:p>
      <w:pPr>
        <w:pStyle w:val="Heading2"/>
        <w:spacing w:after="100" w:before="280"/>
      </w:pPr>
      <w:r>
        <w:rPr>
          <w:rFonts w:ascii="Calibri" w:cs="Calibri" w:eastAsia="Calibri" w:hAnsi="Calibri"/>
          <w:b/>
          <w:bCs/>
          <w:color w:val="1E3A5F"/>
          <w:sz w:val="24"/>
          <w:szCs w:val="24"/>
        </w:rPr>
        <w:t xml:space="preserve">3.2  Pillar B — Operational Excellence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none" w:color="FFFFFF" w:sz="0"/>
              <w:right w:val="single" w:color="CDD8E3" w:sz="1"/>
            </w:tcBorders>
            <w:shd w:fill="0D1B2A" w:val="clear"/>
            <w:tcMar>
              <w:top w:type="dxa" w:w="100"/>
              <w:left w:type="dxa" w:w="200"/>
              <w:bottom w:type="dxa" w:w="100"/>
              <w:right w:type="dxa" w:w="140"/>
            </w:tcMar>
          </w:tcPr>
          <w:p>
            <w:r>
              <w:rPr>
                <w:rFonts w:ascii="Calibri" w:cs="Calibri" w:eastAsia="Calibri" w:hAnsi="Calibri"/>
                <w:b/>
                <w:bCs/>
                <w:color w:val="FFFFFF"/>
                <w:sz w:val="22"/>
                <w:szCs w:val="22"/>
              </w:rPr>
              <w:t xml:space="preserve">B1 — Engineering Talent: Build the Deepest AI Team in Africa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Rationale: Engineering attrition of 22% in Q1 2025 is the single most urgent operational risk. We cannot grow to USD 18M ARR with an engineering team that loses 1 in 5 engineers every year. The talent strategy must be treated as a board-level priority, not an HR function.</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2025 — Immediate Stabilisation: Implement the approved 15% salary uplift and 4% ESOP top-up from April 2025. Fill all 7 open engineering roles by 30 June 2025. Establish the Nairobi university pipeline (University of Nairobi, Strathmore) with 8 pre-hire interns. Target: engineering attrition below 12% by Q3 2025.</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FY 2026 — African AI Talent Hub: Position Lemasy as the employer of choice for African AI engineers. Launch 'Lemasy Research' — a published AI research programme producing 4 papers per year on African financial AI. Partner with AfriLabs and Carnegie Mellon Africa. Target headcount of 140 FTE by end FY 2026, with engineering at 55% of total.</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2027 — Engineering Depth: Establish a Centre of Excellence for African Financial AI — a dedicated team of 12 senior research engineers working on proprietary model architectures, African financial data sets, and frontier AI methods. This team becomes Lemasy's R&amp;D moat.</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Investment Required: USD 1.4M incremental payroll in FY 2026 + USD 0.6M FY 2027 research programme. Fully funded from projected EBITDA growth.</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none" w:color="FFFFFF" w:sz="0"/>
              <w:right w:val="single" w:color="CDD8E3" w:sz="1"/>
            </w:tcBorders>
            <w:shd w:fill="0D1B2A" w:val="clear"/>
            <w:tcMar>
              <w:top w:type="dxa" w:w="100"/>
              <w:left w:type="dxa" w:w="200"/>
              <w:bottom w:type="dxa" w:w="100"/>
              <w:right w:type="dxa" w:w="140"/>
            </w:tcMar>
          </w:tcPr>
          <w:p>
            <w:r>
              <w:rPr>
                <w:rFonts w:ascii="Calibri" w:cs="Calibri" w:eastAsia="Calibri" w:hAnsi="Calibri"/>
                <w:b/>
                <w:bCs/>
                <w:color w:val="FFFFFF"/>
                <w:sz w:val="22"/>
                <w:szCs w:val="22"/>
              </w:rPr>
              <w:t xml:space="preserve">B2 — Platform Excellence: Cortex as World-Class AI Infrastructure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Rationale: The Cortex platform must evolve from 'good enough for our current clients' to 'the standard by which African financial AI infrastructure is judged.' This requires disciplined investment in reliability, security, and developer experience.</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2025 — Foundation: Achieve ISO 27001 certification (May 2025). Deliver Cortex v2.2 (multimodal document processing, June 2025). Launch Lemasy Insights API (Q3 2025). Reduce technical debt ratio from 18% to below 14%. Uptime target: 99.5% across all client deployments.</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FY 2026 — Scale: Achieve SOC 2 Type II certification — the gold standard for enterprise data security, and increasingly required by South African and Nigerian financial regulators. Migrate all clients to Cortex v3.0 — a rebuilt, microservices-based architecture supporting 10x the current throughput. Target: 99.9% uptime SLA for enterprise tier clients.</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2027 — Leadership: Launch Cortex on AWS Marketplace and Azure Marketplace — making Lemasy's platform accessible through the hyperscalers' enterprise procurement channels, dramatically reducing sales friction. Establish Cortex as the reference AI platform for African financial services AI governance.</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Investment Required: USD 0.6M (SOC 2, FY 2026) + USD 1.8M (Cortex v3.0 rebuild, FY 2026) + USD 0.4M (Marketplace listings, FY 2027).</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none" w:color="FFFFFF" w:sz="0"/>
              <w:right w:val="single" w:color="CDD8E3" w:sz="1"/>
            </w:tcBorders>
            <w:shd w:fill="0D1B2A" w:val="clear"/>
            <w:tcMar>
              <w:top w:type="dxa" w:w="100"/>
              <w:left w:type="dxa" w:w="200"/>
              <w:bottom w:type="dxa" w:w="100"/>
              <w:right w:type="dxa" w:w="140"/>
            </w:tcMar>
          </w:tcPr>
          <w:p>
            <w:r>
              <w:rPr>
                <w:rFonts w:ascii="Calibri" w:cs="Calibri" w:eastAsia="Calibri" w:hAnsi="Calibri"/>
                <w:b/>
                <w:bCs/>
                <w:color w:val="FFFFFF"/>
                <w:sz w:val="22"/>
                <w:szCs w:val="22"/>
              </w:rPr>
              <w:t xml:space="preserve">B3 — Governance, Trust, and Regulatory Leadership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Rationale: In financial services AI, trust is a competitive advantage. Clients who trust Lemasy's governance do not churn. Regulators who trust Lemasy's practices will recommend us to supervised institutions. This is not a compliance overhead — it is a commercial strategy.</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2025 — Foundations: Complete South Africa entity incorporation (April 2025). Achieve POPIA full compliance across all SA clients (Q2 2025). Adopt AI Ethics &amp; Governance Policy at Q2 board. Register with Kenya ODPC and Uganda PDPO. Publish first public AI Transparency Report — a first in the African AI space.</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FY 2026 — Engagement: Actively engage with CBK, FSCA, and Bank of Ghana on responsible AI frameworks — positioning Lemasy as the practitioner voice in African AI regulation. Publish annual AI Impact Report covering model fairness, data governance, and economic impact. Establish a formal Data Ethics Committee with one independent external member.</w:t>
            </w:r>
          </w:p>
        </w:tc>
      </w:tr>
      <w:tr>
        <w:tc>
          <w:tcPr>
            <w:tcW w:type="dxa" w:w="9026"/>
            <w:tcBorders>
              <w:top w:val="single" w:color="CDD8E3" w:sz="1"/>
              <w:left w:val="single" w:color="CDD8E3" w:sz="1"/>
              <w:bottom w:val="single" w:color="CDD8E3" w:sz="1"/>
              <w:right w:val="single" w:color="CDD8E3" w:sz="1"/>
            </w:tcBorders>
            <w:shd w:fill="F0F5FA" w:val="clear"/>
            <w:tcMar>
              <w:top w:type="dxa" w:w="80"/>
              <w:left w:type="dxa" w:w="200"/>
              <w:bottom w:type="dxa" w:w="80"/>
              <w:right w:type="dxa" w:w="140"/>
            </w:tcMar>
          </w:tcPr>
          <w:p>
            <w:r>
              <w:rPr>
                <w:rFonts w:ascii="Calibri" w:cs="Calibri" w:eastAsia="Calibri" w:hAnsi="Calibri"/>
                <w:color w:val="1A1A2E"/>
                <w:sz w:val="20"/>
                <w:szCs w:val="20"/>
              </w:rPr>
              <w:t xml:space="preserve">FY 2027 — Leadership: Lemasy is recognised by at least two African regulators as a reference implementation of responsible AI in financial services. The CEO is invited to present at the AU AI Summit and the Financial Sector AI Forum. Governance becomes a commercial differentiator that wins deals competitors cannot win.</w:t>
            </w:r>
          </w:p>
        </w:tc>
      </w:tr>
      <w:tr>
        <w:tc>
          <w:tcPr>
            <w:tcW w:type="dxa" w:w="9026"/>
            <w:tcBorders>
              <w:top w:val="single" w:color="CDD8E3" w:sz="1"/>
              <w:left w:val="single" w:color="CDD8E3" w:sz="1"/>
              <w:bottom w:val="single" w:color="CDD8E3" w:sz="1"/>
              <w:right w:val="single" w:color="CDD8E3" w:sz="1"/>
            </w:tcBorders>
            <w:shd w:fill="FFFFFF" w:val="clear"/>
            <w:tcMar>
              <w:top w:type="dxa" w:w="80"/>
              <w:left w:type="dxa" w:w="200"/>
              <w:bottom w:type="dxa" w:w="80"/>
              <w:right w:type="dxa" w:w="140"/>
            </w:tcMar>
          </w:tcPr>
          <w:p>
            <w:r>
              <w:rPr>
                <w:rFonts w:ascii="Calibri" w:cs="Calibri" w:eastAsia="Calibri" w:hAnsi="Calibri"/>
                <w:color w:val="1A1A2E"/>
                <w:sz w:val="20"/>
                <w:szCs w:val="20"/>
              </w:rPr>
              <w:t xml:space="preserve">Investment Required: Primarily people time (CEO, Legal, CTO). External costs: USD 0.12M per year (legal, publications, conference sponsorship).</w:t>
            </w:r>
          </w:p>
        </w:tc>
      </w:tr>
    </w:tbl>
    <w:p>
      <w:pPr>
        <w:spacing w:after="120" w:before="0"/>
      </w:pPr>
    </w:p>
    <w:p>
      <w:pPr>
        <w:spacing w:after="80" w:before="0"/>
      </w:pPr>
    </w:p>
    <w:p>
      <w:pPr>
        <w:pStyle w:val="Heading1"/>
        <w:spacing w:after="140" w:before="400"/>
      </w:pPr>
      <w:r>
        <w:rPr>
          <w:rFonts w:ascii="Calibri" w:cs="Calibri" w:eastAsia="Calibri" w:hAnsi="Calibri"/>
          <w:b/>
          <w:bCs/>
          <w:color w:val="0D1B2A"/>
          <w:sz w:val="30"/>
          <w:szCs w:val="30"/>
        </w:rPr>
        <w:t xml:space="preserve">4.  Financial Projections — FY 2025 to FY 2027</w:t>
      </w:r>
    </w:p>
    <w:p>
      <w:pPr>
        <w:spacing w:after="120" w:before="80"/>
        <w:jc w:val="both"/>
      </w:pPr>
      <w:r>
        <w:rPr>
          <w:rFonts w:ascii="Calibri" w:cs="Calibri" w:eastAsia="Calibri" w:hAnsi="Calibri"/>
          <w:b w:val="false"/>
          <w:bCs w:val="false"/>
          <w:color w:val="1A1A2E"/>
          <w:sz w:val="22"/>
          <w:szCs w:val="22"/>
        </w:rPr>
        <w:t xml:space="preserve">The financial projections below are prepared on a conservative (base) case basis, consistent with the board-approved FY 2025 budget and management's assessed probability of the FY 2026–2027 strategic initiatives delivering on plan. A stretch scenario is also presented. All figures in USD.</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56"/>
        <w:gridCol w:w="1556"/>
        <w:gridCol w:w="1557"/>
        <w:gridCol w:w="1557"/>
      </w:tblGrid>
      <w:tr>
        <w:tc>
          <w:tcPr>
            <w:tcW w:type="dxa" w:w="2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Metric</w:t>
            </w:r>
          </w:p>
        </w:tc>
        <w:tc>
          <w:tcPr>
            <w:tcW w:type="dxa" w:w="15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FY 2024 Actual</w:t>
            </w:r>
          </w:p>
        </w:tc>
        <w:tc>
          <w:tcPr>
            <w:tcW w:type="dxa" w:w="155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FY 2025 Target</w:t>
            </w:r>
          </w:p>
        </w:tc>
        <w:tc>
          <w:tcPr>
            <w:tcW w:type="dxa" w:w="1557"/>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FY 2026 Target</w:t>
            </w:r>
          </w:p>
        </w:tc>
        <w:tc>
          <w:tcPr>
            <w:tcW w:type="dxa" w:w="1557"/>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FY 2027 Target</w:t>
            </w:r>
          </w:p>
        </w:tc>
      </w:tr>
      <w:tr>
        <w:tc>
          <w:tcPr>
            <w:tcW w:type="dxa" w:w="28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REVENUE</w:t>
            </w:r>
          </w:p>
        </w:tc>
        <w:tc>
          <w:tcPr>
            <w:tcW w:type="dxa" w:w="155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7"/>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7"/>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Subscription / Recurring Revenue</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3.1M</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5.4M</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9.2M</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14.4M</w:t>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Professional Services / Projects</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3.2M</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3.8M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5.6M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7.8M</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TOTAL REVENUE</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6.3M</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9.2M</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14.8M</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22.2M</w:t>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Annual Recurring Revenue (ARR — exit)</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4.2M</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7.0M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12.0M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18.0M</w:t>
            </w:r>
          </w:p>
        </w:tc>
      </w:tr>
      <w:tr>
        <w:tc>
          <w:tcPr>
            <w:tcW w:type="dxa" w:w="28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PROFITABILITY</w:t>
            </w:r>
          </w:p>
        </w:tc>
        <w:tc>
          <w:tcPr>
            <w:tcW w:type="dxa" w:w="155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7"/>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7"/>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Gross Profit</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3.9M</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6.0M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9.6M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15.1M</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Gross Margin (%)</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62%</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65%</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65%</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68%</w:t>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EBITDA</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0.9M</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1.7M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3.3M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5.6M</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EBITDA Margin (%)</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14%</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18%</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22%</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25%</w:t>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Net Profit (PBT)</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0.6M</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1.2M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2.6M</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4.6M</w:t>
            </w:r>
          </w:p>
        </w:tc>
      </w:tr>
      <w:tr>
        <w:tc>
          <w:tcPr>
            <w:tcW w:type="dxa" w:w="2800"/>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KEY METRICS</w:t>
            </w:r>
          </w:p>
        </w:tc>
        <w:tc>
          <w:tcPr>
            <w:tcW w:type="dxa" w:w="155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6"/>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7"/>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c>
          <w:tcPr>
            <w:tcW w:type="dxa" w:w="1557"/>
            <w:tcBorders>
              <w:top w:val="single" w:color="CDD8E3" w:sz="1"/>
              <w:left w:val="single" w:color="CDD8E3" w:sz="1"/>
              <w:bottom w:val="single" w:color="CDD8E3" w:sz="1"/>
              <w:right w:val="single" w:color="CDD8E3" w:sz="1"/>
            </w:tcBorders>
            <w:shd w:fill="1E3A5F" w:val="clear"/>
            <w:tcMar>
              <w:top w:type="dxa" w:w="100"/>
              <w:left w:type="dxa" w:w="140"/>
              <w:bottom w:type="dxa" w:w="100"/>
              <w:right w:type="dxa" w:w="140"/>
            </w:tcMar>
            <w:vAlign w:val="top"/>
          </w:tcPr>
          <w:p>
            <w:pPr>
              <w:jc w:val="center"/>
            </w:pPr>
            <w:r>
              <w:rPr>
                <w:rFonts w:ascii="Calibri" w:cs="Calibri" w:eastAsia="Calibri" w:hAnsi="Calibri"/>
                <w:b/>
                <w:bCs/>
                <w:color w:val="00B4D8"/>
                <w:sz w:val="20"/>
                <w:szCs w:val="20"/>
              </w:rPr>
              <w:t xml:space="preserve"/>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Active Enterprise Clients</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18</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26</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35+</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Net Revenue Retention (NRR)</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114%</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112%</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115%</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118%</w:t>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New Logos (annual)</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10</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14</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Headcount (FTE — year end)</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75</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105</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145</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185</w:t>
            </w:r>
          </w:p>
        </w:tc>
      </w:tr>
      <w:tr>
        <w:tc>
          <w:tcPr>
            <w:tcW w:type="dxa" w:w="2800"/>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Revenue per FTE (USD K)</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84</w:t>
            </w:r>
          </w:p>
        </w:tc>
        <w:tc>
          <w:tcPr>
            <w:tcW w:type="dxa" w:w="1556"/>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88</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102</w:t>
            </w:r>
          </w:p>
        </w:tc>
        <w:tc>
          <w:tcPr>
            <w:tcW w:type="dxa" w:w="1557"/>
            <w:tcBorders>
              <w:top w:val="single" w:color="CDD8E3" w:sz="1"/>
              <w:left w:val="single" w:color="CDD8E3" w:sz="1"/>
              <w:bottom w:val="single" w:color="CDD8E3" w:sz="1"/>
              <w:right w:val="single" w:color="CDD8E3" w:sz="1"/>
            </w:tcBorders>
            <w:shd w:fill="F7FBFE"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120</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  Markets Served</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 (KE, SA)</w:t>
            </w:r>
          </w:p>
        </w:tc>
        <w:tc>
          <w:tcPr>
            <w:tcW w:type="dxa" w:w="155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2 (KE, SA)</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3 (KE, SA, NG)</w:t>
            </w:r>
          </w:p>
        </w:tc>
        <w:tc>
          <w:tcPr>
            <w:tcW w:type="dxa" w:w="1557"/>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4 (KE, SA, NG, GH)</w:t>
            </w:r>
          </w:p>
        </w:tc>
      </w:tr>
    </w:tbl>
    <w:p>
      <w:pPr>
        <w:spacing w:after="80" w:before="0"/>
      </w:pPr>
    </w:p>
    <w:p>
      <w:pPr>
        <w:spacing w:after="120" w:before="80"/>
        <w:jc w:val="both"/>
      </w:pPr>
      <w:r>
        <w:rPr>
          <w:rFonts w:ascii="Calibri" w:cs="Calibri" w:eastAsia="Calibri" w:hAnsi="Calibri"/>
          <w:color w:val="7B8FA6"/>
          <w:sz w:val="22"/>
          <w:szCs w:val="22"/>
        </w:rPr>
        <w:t xml:space="preserve">Note: FY 2026 and FY 2027 projections assume: (i) no material client churn; (ii) FirstRand and 2 additional SA enterprise clients contracted in FY 2025 H2; (iii) Nigeria entry generating USD 1.2M revenue in FY 2026; (iv) Lemasy Insights API contributing USD 0.8M incremental revenue from Q3 2025 onwards; (v) engineering attrition stabilised at &lt; 12% by Q3 2025.</w:t>
      </w:r>
    </w:p>
    <w:p>
      <w:pPr>
        <w:spacing w:after="120" w:before="0"/>
      </w:pPr>
    </w:p>
    <w:p>
      <w:pPr>
        <w:pStyle w:val="Heading2"/>
        <w:spacing w:after="100" w:before="280"/>
      </w:pPr>
      <w:r>
        <w:rPr>
          <w:rFonts w:ascii="Calibri" w:cs="Calibri" w:eastAsia="Calibri" w:hAnsi="Calibri"/>
          <w:b/>
          <w:bCs/>
          <w:color w:val="1E3A5F"/>
          <w:sz w:val="24"/>
          <w:szCs w:val="24"/>
        </w:rPr>
        <w:t xml:space="preserve">4.1  Investment Requirements — Three-Year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826"/>
      </w:tblGrid>
      <w:tr>
        <w:tc>
          <w:tcPr>
            <w:tcW w:type="dxa" w:w="28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Investment Area</w:t>
            </w:r>
          </w:p>
        </w:tc>
        <w:tc>
          <w:tcPr>
            <w:tcW w:type="dxa" w:w="17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FY 2025 (USD)</w:t>
            </w:r>
          </w:p>
        </w:tc>
        <w:tc>
          <w:tcPr>
            <w:tcW w:type="dxa" w:w="17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FY 2026 (USD)</w:t>
            </w:r>
          </w:p>
        </w:tc>
        <w:tc>
          <w:tcPr>
            <w:tcW w:type="dxa" w:w="18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FY 2027 (USD)</w:t>
            </w:r>
          </w:p>
        </w:tc>
      </w:tr>
      <w:tr>
        <w:tc>
          <w:tcPr>
            <w:tcW w:type="dxa" w:w="2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Talent (above base payroll)</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0.28M</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1.40M</w:t>
            </w:r>
          </w:p>
        </w:tc>
        <w:tc>
          <w:tcPr>
            <w:tcW w:type="dxa" w:w="1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0.80M</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Geographic Expansion (Nigeria, Ghana)</w:t>
            </w:r>
          </w:p>
        </w:tc>
        <w:tc>
          <w:tcPr>
            <w:tcW w:type="dxa" w:w="1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w:t>
            </w:r>
          </w:p>
        </w:tc>
        <w:tc>
          <w:tcPr>
            <w:tcW w:type="dxa" w:w="1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0.40M</w:t>
            </w:r>
          </w:p>
        </w:tc>
        <w:tc>
          <w:tcPr>
            <w:tcW w:type="dxa" w:w="1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0.30M</w:t>
            </w:r>
          </w:p>
        </w:tc>
      </w:tr>
      <w:tr>
        <w:tc>
          <w:tcPr>
            <w:tcW w:type="dxa" w:w="2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Product Development (Cortex v3, API, Exchange)</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0.20M</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2.00M</w:t>
            </w:r>
          </w:p>
        </w:tc>
        <w:tc>
          <w:tcPr>
            <w:tcW w:type="dxa" w:w="1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0.40M</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ISO 27001 / SOC 2 Certification</w:t>
            </w:r>
          </w:p>
        </w:tc>
        <w:tc>
          <w:tcPr>
            <w:tcW w:type="dxa" w:w="1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0.04M</w:t>
            </w:r>
          </w:p>
        </w:tc>
        <w:tc>
          <w:tcPr>
            <w:tcW w:type="dxa" w:w="1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0.60M</w:t>
            </w:r>
          </w:p>
        </w:tc>
        <w:tc>
          <w:tcPr>
            <w:tcW w:type="dxa" w:w="1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w:t>
            </w:r>
          </w:p>
        </w:tc>
      </w:tr>
      <w:tr>
        <w:tc>
          <w:tcPr>
            <w:tcW w:type="dxa" w:w="2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Research Programme &amp; Employer Brand</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0.40M</w:t>
            </w:r>
          </w:p>
        </w:tc>
        <w:tc>
          <w:tcPr>
            <w:tcW w:type="dxa" w:w="1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0.60M</w:t>
            </w:r>
          </w:p>
        </w:tc>
      </w:tr>
      <w:tr>
        <w:tc>
          <w:tcPr>
            <w:tcW w:type="dxa" w:w="28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Governance, Legal, Regulatory Engagement</w:t>
            </w:r>
          </w:p>
        </w:tc>
        <w:tc>
          <w:tcPr>
            <w:tcW w:type="dxa" w:w="1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0.12M</w:t>
            </w:r>
          </w:p>
        </w:tc>
        <w:tc>
          <w:tcPr>
            <w:tcW w:type="dxa" w:w="17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0.12M</w:t>
            </w:r>
          </w:p>
        </w:tc>
        <w:tc>
          <w:tcPr>
            <w:tcW w:type="dxa" w:w="1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0.12M</w:t>
            </w:r>
          </w:p>
        </w:tc>
      </w:tr>
      <w:tr>
        <w:tc>
          <w:tcPr>
            <w:tcW w:type="dxa" w:w="28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TOTAL STRATEGIC INVESTMENT</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0.64M</w:t>
            </w:r>
          </w:p>
        </w:tc>
        <w:tc>
          <w:tcPr>
            <w:tcW w:type="dxa" w:w="17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4.92M</w:t>
            </w:r>
          </w:p>
        </w:tc>
        <w:tc>
          <w:tcPr>
            <w:tcW w:type="dxa" w:w="1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1A1A2E"/>
                <w:sz w:val="20"/>
                <w:szCs w:val="20"/>
              </w:rPr>
              <w:t xml:space="preserve">USD 2.22M</w:t>
            </w:r>
          </w:p>
        </w:tc>
      </w:tr>
    </w:tbl>
    <w:p>
      <w:pPr>
        <w:spacing w:after="80" w:before="0"/>
      </w:pPr>
    </w:p>
    <w:p>
      <w:pPr>
        <w:spacing w:after="120" w:before="80"/>
        <w:jc w:val="both"/>
      </w:pPr>
      <w:r>
        <w:rPr>
          <w:rFonts w:ascii="Calibri" w:cs="Calibri" w:eastAsia="Calibri" w:hAnsi="Calibri"/>
          <w:b w:val="false"/>
          <w:bCs w:val="false"/>
          <w:color w:val="7B8FA6"/>
          <w:sz w:val="22"/>
          <w:szCs w:val="22"/>
        </w:rPr>
        <w:t xml:space="preserve">Total three-year strategic investment of USD 7.78M is funded entirely from projected operating cash flow. No external fundraising is assumed in the base case. The board should note that if the stretch scenario materialises — ARR of USD 22M+ by FY 2027 — a Series B fundraising of USD 8–12M in FY 2026 would be warranted to accelerate the geographic expansion and platform rebuild simultaneously rather than sequentially.</w:t>
      </w:r>
    </w:p>
    <w:p>
      <w:pPr>
        <w:spacing w:after="200" w:before="0"/>
      </w:pPr>
    </w:p>
    <w:p>
      <w:pPr>
        <w:pStyle w:val="Heading1"/>
        <w:spacing w:after="140" w:before="400"/>
      </w:pPr>
      <w:r>
        <w:rPr>
          <w:rFonts w:ascii="Calibri" w:cs="Calibri" w:eastAsia="Calibri" w:hAnsi="Calibri"/>
          <w:b/>
          <w:bCs/>
          <w:color w:val="0D1B2A"/>
          <w:sz w:val="30"/>
          <w:szCs w:val="30"/>
        </w:rPr>
        <w:t xml:space="preserve">5.  Execution Roadmap &amp; Board Oversight</w:t>
      </w:r>
    </w:p>
    <w:p>
      <w:pPr>
        <w:pStyle w:val="Heading2"/>
        <w:spacing w:after="100" w:before="280"/>
      </w:pPr>
      <w:r>
        <w:rPr>
          <w:rFonts w:ascii="Calibri" w:cs="Calibri" w:eastAsia="Calibri" w:hAnsi="Calibri"/>
          <w:b/>
          <w:bCs/>
          <w:color w:val="1E3A5F"/>
          <w:sz w:val="24"/>
          <w:szCs w:val="24"/>
        </w:rPr>
        <w:t xml:space="preserve">5.1  Three-Year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26"/>
        <w:gridCol w:w="1000"/>
      </w:tblGrid>
      <w:tr>
        <w:tc>
          <w:tcPr>
            <w:tcW w:type="dxa" w:w="1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Period</w:t>
            </w:r>
          </w:p>
        </w:tc>
        <w:tc>
          <w:tcPr>
            <w:tcW w:type="dxa" w:w="1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Pillar</w:t>
            </w:r>
          </w:p>
        </w:tc>
        <w:tc>
          <w:tcPr>
            <w:tcW w:type="dxa" w:w="58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Milestone</w:t>
            </w:r>
          </w:p>
        </w:tc>
        <w:tc>
          <w:tcPr>
            <w:tcW w:type="dxa" w:w="1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Owner</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Q2 2025</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B3</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ISO 27001 certification achieved (May 2025 audit)</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CTO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Q2 2025</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B3</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SA (Pty) Ltd incorporated and operationally active</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CFO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Q2 2025</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A3</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FirstRand Group — signed agreement (USD 0.9M ACV)</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CEO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Q3 2025</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B1</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All 7 engineering vacancies filled; attrition below 12%</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CPO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Q3 2025</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A2</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Insights API — launched and 5 beta clients active</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CTO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2025</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B3</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AI Ethics &amp; Governance Policy — published externally</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CEO / CTO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2025</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A1</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Nigeria market entry — commercial representative in Lagos</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CCO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2025</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A3</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ARR of USD 7.0M — year-end target</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CEO / CCO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Q2 2026</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B2</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SOC 2 Type II certification achieved</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CTO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Q2 2026</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A2</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Cortex Data Exchange — pilot launched with 3 clients</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CTO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Q3 2026</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A1</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Nigeria — 3 signed enterprise clients</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CCO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2026</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B2</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Cortex v3.0 — all clients migrated</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CTO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2026</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A3</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ARR of USD 12.0M — year-end target</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CEO / CCO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Q2 2027</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A1</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Ghana entry — first client signed</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CCO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Q3 2027</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A2</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Lemasy on AWS Marketplace and Azure Marketplace</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CTO / CCO</w:t>
            </w:r>
          </w:p>
        </w:tc>
      </w:tr>
      <w:tr>
        <w:tc>
          <w:tcPr>
            <w:tcW w:type="dxa" w:w="1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2027</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0D1B2A"/>
                <w:sz w:val="20"/>
                <w:szCs w:val="20"/>
              </w:rPr>
              <w:t xml:space="preserve">B1</w:t>
            </w:r>
          </w:p>
        </w:tc>
        <w:tc>
          <w:tcPr>
            <w:tcW w:type="dxa" w:w="58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Centre of Excellence — 12-person AI Research team active</w:t>
            </w:r>
          </w:p>
        </w:tc>
        <w:tc>
          <w:tcPr>
            <w:tcW w:type="dxa" w:w="1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CTO / CPO</w:t>
            </w:r>
          </w:p>
        </w:tc>
      </w:tr>
      <w:tr>
        <w:tc>
          <w:tcPr>
            <w:tcW w:type="dxa" w:w="1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2027</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A3</w:t>
            </w:r>
          </w:p>
        </w:tc>
        <w:tc>
          <w:tcPr>
            <w:tcW w:type="dxa" w:w="58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ARR of USD 18.0M — three-year target</w:t>
            </w:r>
          </w:p>
        </w:tc>
        <w:tc>
          <w:tcPr>
            <w:tcW w:type="dxa" w:w="1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val="false"/>
                <w:bCs w:val="false"/>
                <w:color w:val="7B8FA6"/>
                <w:sz w:val="20"/>
                <w:szCs w:val="20"/>
              </w:rPr>
              <w:t xml:space="preserve">CEO / CCO</w:t>
            </w:r>
          </w:p>
        </w:tc>
      </w:tr>
    </w:tbl>
    <w:p>
      <w:pPr>
        <w:spacing w:after="140" w:before="0"/>
      </w:pPr>
    </w:p>
    <w:p>
      <w:pPr>
        <w:pStyle w:val="Heading2"/>
        <w:spacing w:after="100" w:before="280"/>
      </w:pPr>
      <w:r>
        <w:rPr>
          <w:rFonts w:ascii="Calibri" w:cs="Calibri" w:eastAsia="Calibri" w:hAnsi="Calibri"/>
          <w:b/>
          <w:bCs/>
          <w:color w:val="1E3A5F"/>
          <w:sz w:val="24"/>
          <w:szCs w:val="24"/>
        </w:rPr>
        <w:t xml:space="preserve">5.2  Board Oversight Framework</w:t>
      </w:r>
    </w:p>
    <w:p>
      <w:pPr>
        <w:spacing w:after="120" w:before="80"/>
        <w:jc w:val="both"/>
      </w:pPr>
      <w:r>
        <w:rPr>
          <w:rFonts w:ascii="Calibri" w:cs="Calibri" w:eastAsia="Calibri" w:hAnsi="Calibri"/>
          <w:b w:val="false"/>
          <w:bCs w:val="false"/>
          <w:color w:val="1A1A2E"/>
          <w:sz w:val="22"/>
          <w:szCs w:val="22"/>
        </w:rPr>
        <w:t xml:space="preserve">The board commits to reviewing strategy execution at each quarterly board meeting using the following cadence: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Meeting</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Strategic Focus</w:t>
            </w:r>
          </w:p>
        </w:tc>
        <w:tc>
          <w:tcPr>
            <w:tcW w:type="dxa" w:w="56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Standing Agenda Items</w:t>
            </w:r>
          </w:p>
        </w:tc>
      </w:tr>
      <w:tr>
        <w:tc>
          <w:tcPr>
            <w:tcW w:type="dxa" w:w="1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Q1 Board</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FY Performance &amp; Pipeline</w:t>
            </w:r>
          </w:p>
        </w:tc>
        <w:tc>
          <w:tcPr>
            <w:tcW w:type="dxa" w:w="56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ARR progress vs plan; new logos; engineering attrition; risk register</w:t>
            </w:r>
          </w:p>
        </w:tc>
      </w:tr>
      <w:tr>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Q2 Board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Mid-Year Strategy Review</w:t>
            </w:r>
          </w:p>
        </w:tc>
        <w:tc>
          <w:tcPr>
            <w:tcW w:type="dxa" w:w="56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Strategic milestone progress; H2 forecast; geographic expansion update; product roadmap</w:t>
            </w:r>
          </w:p>
        </w:tc>
      </w:tr>
      <w:tr>
        <w:tc>
          <w:tcPr>
            <w:tcW w:type="dxa" w:w="1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Q3 Board</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Operational Deep Dive</w:t>
            </w:r>
          </w:p>
        </w:tc>
        <w:tc>
          <w:tcPr>
            <w:tcW w:type="dxa" w:w="56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Platform reliability; talent benchmarks; competitive intelligence; FY budget prep</w:t>
            </w:r>
          </w:p>
        </w:tc>
      </w:tr>
      <w:tr>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Q4 Board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1A1A2E"/>
                <w:sz w:val="20"/>
                <w:szCs w:val="20"/>
              </w:rPr>
              <w:t xml:space="preserve">Annual Performance &amp; FY+1 Plan</w:t>
            </w:r>
          </w:p>
        </w:tc>
        <w:tc>
          <w:tcPr>
            <w:tcW w:type="dxa" w:w="56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CEO performance review; FY results; next-year budget approval; strategy refresh</w:t>
            </w:r>
          </w:p>
        </w:tc>
      </w:tr>
    </w:tbl>
    <w:p>
      <w:pPr>
        <w:spacing w:after="120" w:before="0"/>
      </w:pPr>
    </w:p>
    <w:p>
      <w:pPr>
        <w:pStyle w:val="Heading2"/>
        <w:spacing w:after="100" w:before="280"/>
      </w:pPr>
      <w:r>
        <w:rPr>
          <w:rFonts w:ascii="Calibri" w:cs="Calibri" w:eastAsia="Calibri" w:hAnsi="Calibri"/>
          <w:b/>
          <w:bCs/>
          <w:color w:val="1E3A5F"/>
          <w:sz w:val="24"/>
          <w:szCs w:val="24"/>
        </w:rPr>
        <w:t xml:space="preserve">5.3  Strategic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Strategic Risk</w:t>
            </w:r>
          </w:p>
        </w:tc>
        <w:tc>
          <w:tcPr>
            <w:tcW w:type="dxa" w:w="14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center"/>
            </w:pPr>
            <w:r>
              <w:rPr>
                <w:rFonts w:ascii="Calibri" w:cs="Calibri" w:eastAsia="Calibri" w:hAnsi="Calibri"/>
                <w:b/>
                <w:bCs/>
                <w:color w:val="FFFFFF"/>
                <w:sz w:val="20"/>
                <w:szCs w:val="20"/>
              </w:rPr>
              <w:t xml:space="preserve">Probability</w:t>
            </w:r>
          </w:p>
        </w:tc>
        <w:tc>
          <w:tcPr>
            <w:tcW w:type="dxa" w:w="442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Mitigation</w:t>
            </w:r>
          </w:p>
        </w:tc>
      </w:tr>
      <w:tr>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Engineering talent does not stabilise — attrition continues above 15%</w:t>
            </w:r>
          </w:p>
        </w:tc>
        <w:tc>
          <w:tcPr>
            <w:tcW w:type="dxa" w:w="1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C0392B"/>
                <w:sz w:val="20"/>
                <w:szCs w:val="20"/>
              </w:rPr>
              <w:t xml:space="preserve">High</w:t>
            </w:r>
          </w:p>
        </w:tc>
        <w:tc>
          <w:tcPr>
            <w:tcW w:type="dxa" w:w="44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Salary uplift, ESOP refresh, university pipeline, remote-first engineering culture</w:t>
            </w:r>
          </w:p>
        </w:tc>
      </w:tr>
      <w:tr>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Client concentration — loss of top 3 clients (48% of revenue)</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44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Diversification strategy, multi-year contracts, deep account management</w:t>
            </w:r>
          </w:p>
        </w:tc>
      </w:tr>
      <w:tr>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Global AI vendor enters African market with local pricing</w:t>
            </w:r>
          </w:p>
        </w:tc>
        <w:tc>
          <w:tcPr>
            <w:tcW w:type="dxa" w:w="1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44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African data moat, regulatory compliance, speed, relationships</w:t>
            </w:r>
          </w:p>
        </w:tc>
      </w:tr>
      <w:tr>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Nigeria market entry underperforms — 0 clients in FY 2026</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Medium</w:t>
            </w:r>
          </w:p>
        </w:tc>
        <w:tc>
          <w:tcPr>
            <w:tcW w:type="dxa" w:w="44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Capital-light entry — revenue-conditional scaling; SA partners for introductions</w:t>
            </w:r>
          </w:p>
        </w:tc>
      </w:tr>
      <w:tr>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Cortex v3.0 rebuild delayed — v2.x reaches technical limits</w:t>
            </w:r>
          </w:p>
        </w:tc>
        <w:tc>
          <w:tcPr>
            <w:tcW w:type="dxa" w:w="1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D4891A"/>
                <w:sz w:val="20"/>
                <w:szCs w:val="20"/>
              </w:rPr>
              <w:t xml:space="preserve">Low-Medium</w:t>
            </w:r>
          </w:p>
        </w:tc>
        <w:tc>
          <w:tcPr>
            <w:tcW w:type="dxa" w:w="44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Phased rebuild alongside current platform; SOC 2 forces architecture discipline</w:t>
            </w:r>
          </w:p>
        </w:tc>
      </w:tr>
      <w:tr>
        <w:tc>
          <w:tcPr>
            <w:tcW w:type="dxa" w:w="32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Regulatory change restricts cross-border AI model use</w:t>
            </w:r>
          </w:p>
        </w:tc>
        <w:tc>
          <w:tcPr>
            <w:tcW w:type="dxa" w:w="14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Low</w:t>
            </w:r>
          </w:p>
        </w:tc>
        <w:tc>
          <w:tcPr>
            <w:tcW w:type="dxa" w:w="442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Entity localisation strategy; data residency by design from FY 2025</w:t>
            </w:r>
          </w:p>
        </w:tc>
      </w:tr>
      <w:tr>
        <w:tc>
          <w:tcPr>
            <w:tcW w:type="dxa" w:w="32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Key co-founder departure — CEO or CTO exits</w:t>
            </w:r>
          </w:p>
        </w:tc>
        <w:tc>
          <w:tcPr>
            <w:tcW w:type="dxa" w:w="14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center"/>
            </w:pPr>
            <w:r>
              <w:rPr>
                <w:rFonts w:ascii="Calibri" w:cs="Calibri" w:eastAsia="Calibri" w:hAnsi="Calibri"/>
                <w:b/>
                <w:bCs/>
                <w:color w:val="1D7A55"/>
                <w:sz w:val="20"/>
                <w:szCs w:val="20"/>
              </w:rPr>
              <w:t xml:space="preserve">Low</w:t>
            </w:r>
          </w:p>
        </w:tc>
        <w:tc>
          <w:tcPr>
            <w:tcW w:type="dxa" w:w="442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ESOP retention, board succession plan, co-founder employment contract review</w:t>
            </w:r>
          </w:p>
        </w:tc>
      </w:tr>
    </w:tbl>
    <w:p>
      <w:pPr>
        <w:spacing w:after="140" w:before="0"/>
      </w:pPr>
    </w:p>
    <w:p>
      <w:pPr>
        <w:pStyle w:val="Heading2"/>
        <w:spacing w:after="100" w:before="280"/>
      </w:pPr>
      <w:r>
        <w:rPr>
          <w:rFonts w:ascii="Calibri" w:cs="Calibri" w:eastAsia="Calibri" w:hAnsi="Calibri"/>
          <w:b/>
          <w:bCs/>
          <w:color w:val="1E3A5F"/>
          <w:sz w:val="24"/>
          <w:szCs w:val="24"/>
        </w:rPr>
        <w:t xml:space="preserve">5.4  Board Action Items — This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4320"/>
        <w:gridCol w:w="2166"/>
        <w:gridCol w:w="2000"/>
      </w:tblGrid>
      <w:tr>
        <w:tc>
          <w:tcPr>
            <w:tcW w:type="dxa" w:w="54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Ref</w:t>
            </w:r>
          </w:p>
        </w:tc>
        <w:tc>
          <w:tcPr>
            <w:tcW w:type="dxa" w:w="432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Action</w:t>
            </w:r>
          </w:p>
        </w:tc>
        <w:tc>
          <w:tcPr>
            <w:tcW w:type="dxa" w:w="2166"/>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Owner</w:t>
            </w:r>
          </w:p>
        </w:tc>
        <w:tc>
          <w:tcPr>
            <w:tcW w:type="dxa" w:w="2000"/>
            <w:tcBorders>
              <w:top w:val="single" w:color="CDD8E3" w:sz="1"/>
              <w:left w:val="single" w:color="CDD8E3" w:sz="1"/>
              <w:bottom w:val="single" w:color="CDD8E3" w:sz="1"/>
              <w:right w:val="single" w:color="CDD8E3" w:sz="1"/>
            </w:tcBorders>
            <w:shd w:fill="0D1B2A" w:val="clear"/>
            <w:tcMar>
              <w:top w:type="dxa" w:w="100"/>
              <w:left w:type="dxa" w:w="140"/>
              <w:bottom w:type="dxa" w:w="100"/>
              <w:right w:type="dxa" w:w="140"/>
            </w:tcMar>
            <w:vAlign w:val="top"/>
          </w:tcPr>
          <w:p>
            <w:pPr>
              <w:jc w:val="left"/>
            </w:pPr>
            <w:r>
              <w:rPr>
                <w:rFonts w:ascii="Calibri" w:cs="Calibri" w:eastAsia="Calibri" w:hAnsi="Calibri"/>
                <w:b/>
                <w:bCs/>
                <w:color w:val="FFFFFF"/>
                <w:sz w:val="20"/>
                <w:szCs w:val="20"/>
              </w:rPr>
              <w:t xml:space="preserve">Deadline</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S-01</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Adopt this Three-Year Strategic Report as the governing strategy document for FY 2025–2027</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This Meeting</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S-02</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Approve the FY 2025 strategic investment budget of USD 0.64M above base operating plan</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This Meeting</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S-03</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Confirm the board oversight cadence in Section 5.2 as the standing strategic review framework</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This Meeting</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S-04</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CEO to provide a written Nigeria market entry plan for board review before any commercial commitments are made</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CEO</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Q3 Board — Sep 2025</w:t>
            </w:r>
          </w:p>
        </w:tc>
      </w:tr>
      <w:tr>
        <w:tc>
          <w:tcPr>
            <w:tcW w:type="dxa" w:w="54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S-05</w:t>
            </w:r>
          </w:p>
        </w:tc>
        <w:tc>
          <w:tcPr>
            <w:tcW w:type="dxa" w:w="432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CFO to model a Series B fundraising scenario (USD 8–12M) for board consideration if FY 2025 ARR exits above USD 8M</w:t>
            </w:r>
          </w:p>
        </w:tc>
        <w:tc>
          <w:tcPr>
            <w:tcW w:type="dxa" w:w="2166"/>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CFO</w:t>
            </w:r>
          </w:p>
        </w:tc>
        <w:tc>
          <w:tcPr>
            <w:tcW w:type="dxa" w:w="2000"/>
            <w:tcBorders>
              <w:top w:val="single" w:color="CDD8E3" w:sz="1"/>
              <w:left w:val="single" w:color="CDD8E3" w:sz="1"/>
              <w:bottom w:val="single" w:color="CDD8E3" w:sz="1"/>
              <w:right w:val="single" w:color="CDD8E3" w:sz="1"/>
            </w:tcBorders>
            <w:shd w:fill="FFFFFF"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Q4 Board — Dec 2025</w:t>
            </w:r>
          </w:p>
        </w:tc>
      </w:tr>
      <w:tr>
        <w:tc>
          <w:tcPr>
            <w:tcW w:type="dxa" w:w="54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bCs/>
                <w:color w:val="00B4D8"/>
                <w:sz w:val="20"/>
                <w:szCs w:val="20"/>
              </w:rPr>
              <w:t xml:space="preserve">S-06</w:t>
            </w:r>
          </w:p>
        </w:tc>
        <w:tc>
          <w:tcPr>
            <w:tcW w:type="dxa" w:w="432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Board to conduct an annual strategy refresh at Q4 2025 board, updating FY 2026 and FY 2027 targets based on actual FY 2025 performance</w:t>
            </w:r>
          </w:p>
        </w:tc>
        <w:tc>
          <w:tcPr>
            <w:tcW w:type="dxa" w:w="2166"/>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E3A5F"/>
                <w:sz w:val="20"/>
                <w:szCs w:val="20"/>
              </w:rPr>
              <w:t xml:space="preserve">Board / CEO</w:t>
            </w:r>
          </w:p>
        </w:tc>
        <w:tc>
          <w:tcPr>
            <w:tcW w:type="dxa" w:w="2000"/>
            <w:tcBorders>
              <w:top w:val="single" w:color="CDD8E3" w:sz="1"/>
              <w:left w:val="single" w:color="CDD8E3" w:sz="1"/>
              <w:bottom w:val="single" w:color="CDD8E3" w:sz="1"/>
              <w:right w:val="single" w:color="CDD8E3" w:sz="1"/>
            </w:tcBorders>
            <w:shd w:fill="F0F5FA" w:val="clear"/>
            <w:tcMar>
              <w:top w:type="dxa" w:w="100"/>
              <w:left w:type="dxa" w:w="140"/>
              <w:bottom w:type="dxa" w:w="100"/>
              <w:right w:type="dxa" w:w="140"/>
            </w:tcMar>
            <w:vAlign w:val="top"/>
          </w:tcPr>
          <w:p>
            <w:pPr>
              <w:jc w:val="left"/>
            </w:pPr>
            <w:r>
              <w:rPr>
                <w:rFonts w:ascii="Calibri" w:cs="Calibri" w:eastAsia="Calibri" w:hAnsi="Calibri"/>
                <w:b w:val="false"/>
                <w:bCs w:val="false"/>
                <w:color w:val="1A1A2E"/>
                <w:sz w:val="20"/>
                <w:szCs w:val="20"/>
              </w:rPr>
              <w:t xml:space="preserve">Q4 Board — Dec 2025</w:t>
            </w:r>
          </w:p>
        </w:tc>
      </w:tr>
    </w:tbl>
    <w:p>
      <w:pPr>
        <w:spacing w:after="200" w:before="0"/>
      </w:pPr>
    </w:p>
    <w:p>
      <w:pPr>
        <w:pBdr>
          <w:bottom w:val="single" w:color="7B8FA6" w:sz="4" w:space="1"/>
        </w:pBdr>
        <w:spacing w:after="0"/>
      </w:pPr>
    </w:p>
    <w:p>
      <w:pPr>
        <w:spacing w:after="80" w:before="0"/>
      </w:pPr>
    </w:p>
    <w:p>
      <w:pPr>
        <w:spacing w:after="120" w:before="80"/>
        <w:jc w:val="both"/>
      </w:pPr>
      <w:r>
        <w:rPr>
          <w:rFonts w:ascii="Calibri" w:cs="Calibri" w:eastAsia="Calibri" w:hAnsi="Calibri"/>
          <w:b/>
          <w:bCs/>
          <w:color w:val="1A1A2E"/>
          <w:sz w:val="22"/>
          <w:szCs w:val="22"/>
        </w:rPr>
        <w:t xml:space="preserve">Submitted by: </w:t>
      </w:r>
      <w:r>
        <w:rPr>
          <w:rFonts w:ascii="Calibri" w:cs="Calibri" w:eastAsia="Calibri" w:hAnsi="Calibri"/>
          <w:b w:val="false"/>
          <w:bCs w:val="false"/>
          <w:color w:val="1A1A2E"/>
          <w:sz w:val="22"/>
          <w:szCs w:val="22"/>
        </w:rPr>
        <w:t xml:space="preserve">Ms. Amara Osei-Bonsu, Chief Executive Officer &amp; Co-Founder, Lemasy Limited  |  28 March 2025</w:t>
      </w:r>
    </w:p>
    <w:p>
      <w:pPr>
        <w:spacing w:after="60" w:before="0"/>
      </w:pPr>
    </w:p>
    <w:p>
      <w:pPr>
        <w:spacing w:after="120" w:before="80"/>
        <w:jc w:val="both"/>
      </w:pPr>
      <w:r>
        <w:rPr>
          <w:rFonts w:ascii="Calibri" w:cs="Calibri" w:eastAsia="Calibri" w:hAnsi="Calibri"/>
          <w:b/>
          <w:bCs/>
          <w:color w:val="1A1A2E"/>
          <w:sz w:val="22"/>
          <w:szCs w:val="22"/>
        </w:rPr>
        <w:t xml:space="preserve">Approved by the Board: </w:t>
      </w:r>
      <w:r>
        <w:rPr>
          <w:rFonts w:ascii="Calibri" w:cs="Calibri" w:eastAsia="Calibri" w:hAnsi="Calibri"/>
          <w:b w:val="false"/>
          <w:bCs w:val="false"/>
          <w:color w:val="1A1A2E"/>
          <w:sz w:val="22"/>
          <w:szCs w:val="22"/>
        </w:rPr>
        <w:t xml:space="preserve">Mr. Kwesi Boateng, Non-Executive Chairman  |  28 March 2025</w:t>
      </w:r>
    </w:p>
    <w:p>
      <w:pPr>
        <w:spacing w:after="80" w:before="0"/>
      </w:pPr>
    </w:p>
    <w:p>
      <w:pPr>
        <w:spacing w:after="120" w:before="80"/>
        <w:jc w:val="both"/>
      </w:pPr>
      <w:r>
        <w:rPr>
          <w:rFonts w:ascii="Calibri" w:cs="Calibri" w:eastAsia="Calibri" w:hAnsi="Calibri"/>
          <w:b w:val="false"/>
          <w:bCs w:val="false"/>
          <w:color w:val="7B8FA6"/>
          <w:sz w:val="18"/>
          <w:szCs w:val="18"/>
        </w:rPr>
        <w:t xml:space="preserve">This Strategic Report has been prepared for the exclusive use of the Board of Directors of Lemasy Limited. It contains commercially sensitive strategic, financial, and competitive information. Any reproduction, distribution, or disclosure to any third party without prior written consent of the CEO is strictly prohibited.</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spacing w:before="80"/>
    </w:pPr>
    <w:r>
      <w:rPr>
        <w:rFonts w:ascii="Calibri" w:cs="Calibri" w:eastAsia="Calibri" w:hAnsi="Calibri"/>
        <w:color w:val="7B8FA6"/>
        <w:sz w:val="16"/>
        <w:szCs w:val="16"/>
      </w:rPr>
      <w:t xml:space="preserve">STRICTLY CONFIDENTIAL  |  For Board Use Only</w:t>
    </w:r>
    <w:r>
      <w:rPr>
        <w:rFonts w:ascii="Calibri" w:cs="Calibri" w:eastAsia="Calibri" w:hAnsi="Calibri"/>
        <w:sz w:val="16"/>
        <w:szCs w:val="16"/>
      </w:rPr>
      <w:t xml:space="preserve">	</w:t>
    </w:r>
    <w:r>
      <w:rPr>
        <w:rFonts w:ascii="Calibri" w:cs="Calibri" w:eastAsia="Calibri" w:hAnsi="Calibri"/>
        <w:color w:val="7B8FA6"/>
        <w:sz w:val="16"/>
        <w:szCs w:val="16"/>
      </w:rPr>
      <w:t xml:space="preserve">Page </w:t>
    </w:r>
    <w:r>
      <w:rPr>
        <w:rFonts w:ascii="Calibri" w:cs="Calibri" w:eastAsia="Calibri" w:hAnsi="Calibri"/>
        <w:color w:val="7B8F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spacing w:after="80"/>
    </w:pPr>
    <w:r>
      <w:rPr>
        <w:rFonts w:ascii="Calibri" w:cs="Calibri" w:eastAsia="Calibri" w:hAnsi="Calibri"/>
        <w:color w:val="7B8FA6"/>
        <w:sz w:val="17"/>
        <w:szCs w:val="17"/>
      </w:rPr>
      <w:t xml:space="preserve">Lemasy — Three-Year Strategic Report</w:t>
    </w:r>
    <w:r>
      <w:rPr>
        <w:rFonts w:ascii="Calibri" w:cs="Calibri" w:eastAsia="Calibri" w:hAnsi="Calibri"/>
        <w:sz w:val="17"/>
        <w:szCs w:val="17"/>
      </w:rPr>
      <w:t xml:space="preserve">	</w:t>
    </w:r>
    <w:r>
      <w:rPr>
        <w:rFonts w:ascii="Calibri" w:cs="Calibri" w:eastAsia="Calibri" w:hAnsi="Calibri"/>
        <w:color w:val="7B8FA6"/>
        <w:sz w:val="17"/>
        <w:szCs w:val="17"/>
      </w:rPr>
      <w:t xml:space="preserve">FY 2025 – FY 2027  |  Board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2026-05-09T12:31:18.433Z</dcterms:created>
  <dcterms:modified xsi:type="dcterms:W3CDTF">2026-05-09T12:31:18.466Z</dcterms:modified>
</cp:coreProperties>
</file>

<file path=docProps/custom.xml><?xml version="1.0" encoding="utf-8"?>
<Properties xmlns="http://schemas.openxmlformats.org/officeDocument/2006/custom-properties" xmlns:vt="http://schemas.openxmlformats.org/officeDocument/2006/docPropsVTypes"/>
</file>