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8B2E2B"/>
        </w:rPr>
        <w:t xml:space="preserve">  CLASSIFICATION  ·  CONFIDENTIAL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Q4 2026 Audit Committee</w:t>
      </w:r>
    </w:p>
    <w:p>
      <w:r>
        <w:rPr>
          <w:rFonts w:ascii="Georgia" w:hAnsi="Georgia"/>
          <w:i/>
          <w:color w:val="4B5563"/>
          <w:sz w:val="30"/>
        </w:rPr>
        <w:t>Draft compilation of scored contributions.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AKKI Admin  ·  2026-05-07  ·  07 May 2026 · 13:44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Compilation reads at draft strength on 17% overall — sections below carry the contributions as scored.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Covenant headroom review</w:t>
      </w:r>
    </w:p>
    <w:p>
      <w:r>
        <w:rPr>
          <w:rFonts w:ascii="Calibri" w:hAnsi="Calibri"/>
          <w:color w:val="111827"/>
          <w:sz w:val="22"/>
        </w:rPr>
        <w:t>02.  Counterparty concentration</w:t>
      </w:r>
    </w:p>
    <w:p>
      <w:r>
        <w:rPr>
          <w:rFonts w:ascii="Calibri" w:hAnsi="Calibri"/>
          <w:color w:val="111827"/>
          <w:sz w:val="22"/>
        </w:rPr>
        <w:t>03.  Operational resilience update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Covenant headroom review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Counterparty concentration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Operational resilience update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Q4 covenant headroom note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[2]  </w:t>
      </w:r>
      <w:r>
        <w:rPr>
          <w:rFonts w:ascii="Georgia" w:hAnsi="Georgia"/>
          <w:color w:val="111827"/>
          <w:sz w:val="20"/>
        </w:rPr>
        <w:t>Counterparty draft TBC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AKKI Admin  ·  Confidential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