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Source validation document</w:t>
      </w:r>
    </w:p>
    <w:p>
      <w:pPr>
        <w:spacing w:before="400"/>
      </w:pPr>
      <w:r>
        <w:rPr>
          <w:rFonts w:ascii="Calibri" w:hAnsi="Calibri"/>
          <w:color w:val="4B5563"/>
          <w:sz w:val="20"/>
        </w:rPr>
        <w:t>Prepared for QA Chunk 7 Regression Testing  ·  N/A  ·  28 May 2026 · 07:10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test material to verify that committee_pack is now recognised as a first-class enhancement type within the AKKI system. The source artefact contains no audit committee proceedings, financial oversight content, risk assessments, or compliance reporting. It comprises solely self-referential metadata confirming its purpose as regression test input.</w:t>
      </w:r>
    </w:p>
    <w:p>
      <w:r>
        <w:br w:type="page"/>
      </w:r>
    </w:p>
    <w:p>
      <w:pPr>
        <w:spacing w:before="400" w:after="120"/>
      </w:pPr>
      <w:r>
        <w:rPr>
          <w:rFonts w:ascii="Calibri" w:hAnsi="Calibri"/>
          <w:b/>
          <w:color w:val="0A1F44"/>
          <w:sz w:val="40"/>
        </w:rPr>
        <w:t>Index</w:t>
      </w:r>
    </w:p>
    <w:p>
      <w:r>
        <w:rPr>
          <w:rFonts w:ascii="Calibri" w:hAnsi="Calibri"/>
          <w:color w:val="111827"/>
          <w:sz w:val="22"/>
        </w:rPr>
        <w:t>01.  Source Material Composition</w:t>
      </w:r>
    </w:p>
    <w:p>
      <w:r>
        <w:rPr>
          <w:rFonts w:ascii="Calibri" w:hAnsi="Calibri"/>
          <w:color w:val="111827"/>
          <w:sz w:val="22"/>
        </w:rPr>
        <w:t>02.  Enhancement Scope Constraints</w:t>
      </w:r>
    </w:p>
    <w:p>
      <w:r>
        <w:rPr>
          <w:rFonts w:ascii="Calibri" w:hAnsi="Calibri"/>
          <w:color w:val="111827"/>
          <w:sz w:val="22"/>
        </w:rPr>
        <w:t>03.  Regression Test Interpretation</w:t>
      </w:r>
    </w:p>
    <w:p>
      <w:r>
        <w:rPr>
          <w:rFonts w:ascii="Calibri" w:hAnsi="Calibri"/>
          <w:color w:val="111827"/>
          <w:sz w:val="22"/>
        </w:rPr>
        <w:t>04.  Alternative Scenario</w:t>
      </w:r>
    </w:p>
    <w:p>
      <w:r>
        <w:br w:type="page"/>
      </w:r>
    </w:p>
    <w:p>
      <w:pPr>
        <w:spacing w:before="400" w:after="120"/>
      </w:pPr>
      <w:r>
        <w:rPr>
          <w:rFonts w:ascii="Calibri" w:hAnsi="Calibri"/>
          <w:b/>
          <w:color w:val="0A1F44"/>
          <w:sz w:val="40"/>
        </w:rPr>
        <w:t>Source Material Composition</w:t>
      </w:r>
    </w:p>
    <w:p>
      <w:pPr>
        <w:spacing w:after="120"/>
      </w:pPr>
      <w:r>
        <w:rPr>
          <w:rFonts w:ascii="Georgia" w:hAnsi="Georgia"/>
          <w:i/>
          <w:color w:val="4B5563"/>
          <w:sz w:val="22"/>
        </w:rPr>
        <w:t>Content Analysis</w:t>
      </w:r>
    </w:p>
    <w:p>
      <w:pPr>
        <w:spacing w:after="120"/>
      </w:pPr>
      <w:r>
        <w:rPr>
          <w:rFonts w:ascii="Georgia" w:hAnsi="Georgia"/>
          <w:i w:val="0"/>
          <w:color w:val="111827"/>
          <w:sz w:val="22"/>
        </w:rPr>
        <w:t>The provided source artefact contains 34 words arranged in two sentences. Both sentences describe the document's function as quality assurance material rather than conveying audit committee substance.</w:t>
      </w:r>
    </w:p>
    <w:p>
      <w:pPr>
        <w:spacing w:after="120"/>
      </w:pPr>
      <w:r>
        <w:rPr>
          <w:rFonts w:ascii="Georgia" w:hAnsi="Georgia"/>
          <w:i w:val="0"/>
          <w:color w:val="111827"/>
          <w:sz w:val="22"/>
        </w:rPr>
        <w:t>No financial data, governance decisions, risk discussions, internal control assessments, or regulatory compliance matters appear in the source text. The document lacks the components typically present in audit committee packs: management reports, auditor communications, or oversight recommendations. [1]</w:t>
      </w:r>
    </w:p>
    <w:p/>
    <w:p>
      <w:pPr>
        <w:spacing w:before="400" w:after="120"/>
      </w:pPr>
      <w:r>
        <w:rPr>
          <w:rFonts w:ascii="Calibri" w:hAnsi="Calibri"/>
          <w:b/>
          <w:color w:val="0A1F44"/>
          <w:sz w:val="40"/>
        </w:rPr>
        <w:t>Enhancement Scope Constraints</w:t>
      </w:r>
    </w:p>
    <w:p>
      <w:pPr>
        <w:spacing w:after="120"/>
      </w:pPr>
      <w:r>
        <w:rPr>
          <w:rFonts w:ascii="Georgia" w:hAnsi="Georgia"/>
          <w:i/>
          <w:color w:val="4B5563"/>
          <w:sz w:val="22"/>
        </w:rPr>
        <w:t>Technical Limitation</w:t>
      </w:r>
    </w:p>
    <w:p>
      <w:pPr>
        <w:spacing w:after="120"/>
      </w:pPr>
      <w:r>
        <w:rPr>
          <w:rFonts w:ascii="Georgia" w:hAnsi="Georgia"/>
          <w:i w:val="0"/>
          <w:color w:val="111827"/>
          <w:sz w:val="22"/>
        </w:rPr>
        <w:t>The instruction requests tightening of wording for audit committee material. However, the source provides no audit committee content to refine. Editorial enhancement requires underlying substance to compress, clarify, or restructure.</w:t>
      </w:r>
    </w:p>
    <w:p>
      <w:pPr>
        <w:spacing w:after="120"/>
      </w:pPr>
      <w:r>
        <w:rPr>
          <w:rFonts w:ascii="Georgia" w:hAnsi="Georgia"/>
          <w:i w:val="0"/>
          <w:color w:val="111827"/>
          <w:sz w:val="22"/>
        </w:rPr>
        <w:t>This represents a category mismatch: the task assumes the presence of verbose or unclear committee documentation, while the input comprises only test metadata. No amount of linguistic tightening can extract audit oversight content from self-descriptive test text. [1]</w:t>
      </w:r>
    </w:p>
    <w:p/>
    <w:p>
      <w:pPr>
        <w:spacing w:before="400" w:after="120"/>
      </w:pPr>
      <w:r>
        <w:rPr>
          <w:rFonts w:ascii="Calibri" w:hAnsi="Calibri"/>
          <w:b/>
          <w:color w:val="0A1F44"/>
          <w:sz w:val="40"/>
        </w:rPr>
        <w:t>Regression Test Interpretation</w:t>
      </w:r>
    </w:p>
    <w:p>
      <w:pPr>
        <w:spacing w:after="120"/>
      </w:pPr>
      <w:r>
        <w:rPr>
          <w:rFonts w:ascii="Georgia" w:hAnsi="Georgia"/>
          <w:i/>
          <w:color w:val="4B5563"/>
          <w:sz w:val="22"/>
        </w:rPr>
        <w:t>Quality Gate Function</w:t>
      </w:r>
    </w:p>
    <w:p>
      <w:pPr>
        <w:spacing w:after="120"/>
      </w:pPr>
      <w:r>
        <w:rPr>
          <w:rFonts w:ascii="Georgia" w:hAnsi="Georgia"/>
          <w:i w:val="0"/>
          <w:color w:val="111827"/>
          <w:sz w:val="22"/>
        </w:rPr>
        <w:t>The explicit labelling as 'QA Chunk 7 regression' material suggests this exercise validates system behaviour when committee_pack documents contain minimal or non-standard content. The test may assess whether the enhancement pipeline correctly identifies content gaps rather than fabricating committee proceedings.</w:t>
      </w:r>
    </w:p>
    <w:p>
      <w:pPr>
        <w:spacing w:after="120"/>
      </w:pPr>
      <w:r>
        <w:rPr>
          <w:rFonts w:ascii="Georgia" w:hAnsi="Georgia"/>
          <w:i w:val="0"/>
          <w:color w:val="111827"/>
          <w:sz w:val="22"/>
        </w:rPr>
        <w:t>If this interpretation holds, the appropriate system response is to flag the absence of enhanceable material rather than generate synthetic audit committee content. This maintains integrity by refusing to hallucinate financial oversight data where none exists in the source. [1]</w:t>
      </w:r>
    </w:p>
    <w:p/>
    <w:p>
      <w:pPr>
        <w:spacing w:before="400" w:after="120"/>
      </w:pPr>
      <w:r>
        <w:rPr>
          <w:rFonts w:ascii="Calibri" w:hAnsi="Calibri"/>
          <w:b/>
          <w:color w:val="0A1F44"/>
          <w:sz w:val="40"/>
        </w:rPr>
        <w:t>Alternative Scenario</w:t>
      </w:r>
    </w:p>
    <w:p>
      <w:pPr>
        <w:spacing w:after="120"/>
      </w:pPr>
      <w:r>
        <w:rPr>
          <w:rFonts w:ascii="Georgia" w:hAnsi="Georgia"/>
          <w:i/>
          <w:color w:val="4B5563"/>
          <w:sz w:val="22"/>
        </w:rPr>
        <w:t>Possible User Error</w:t>
      </w:r>
    </w:p>
    <w:p>
      <w:pPr>
        <w:spacing w:after="120"/>
      </w:pPr>
      <w:r>
        <w:rPr>
          <w:rFonts w:ascii="Georgia" w:hAnsi="Georgia"/>
          <w:i w:val="0"/>
          <w:color w:val="111827"/>
          <w:sz w:val="22"/>
        </w:rPr>
        <w:t>An alternative explanation: the wrong file was attached, or truncation removed the intended audit committee content. The 16,000-character truncation limit far exceeds the 34 words present, indicating the source was already minimal before processing.</w:t>
      </w:r>
    </w:p>
    <w:p>
      <w:pPr>
        <w:spacing w:after="120"/>
      </w:pPr>
      <w:r>
        <w:rPr>
          <w:rFonts w:ascii="Georgia" w:hAnsi="Georgia"/>
          <w:i w:val="0"/>
          <w:color w:val="111827"/>
          <w:sz w:val="22"/>
        </w:rPr>
        <w:t>If unintended, the user likely possesses separate documentation containing the actual audit committee proceedings, risk registers, financial controls assessment, or regulatory compliance updates they wish to tighten. That material would need to be provided for meaningful enhancement.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Test Administrator — Confirm whether QA Chunk 7 regression requires demonstration of content-gap detection or provision of actual audit committee source material</w:t>
      </w:r>
    </w:p>
    <w:p>
      <w:pPr>
        <w:spacing w:after="80"/>
      </w:pPr>
      <w:r>
        <w:rPr>
          <w:rFonts w:ascii="Calibri" w:hAnsi="Calibri"/>
          <w:b/>
          <w:color w:val="8B2E2B"/>
          <w:sz w:val="22"/>
        </w:rPr>
        <w:t xml:space="preserve">2.  </w:t>
      </w:r>
      <w:r>
        <w:rPr>
          <w:rFonts w:ascii="Georgia" w:hAnsi="Georgia"/>
          <w:color w:val="111827"/>
          <w:sz w:val="22"/>
        </w:rPr>
        <w:t>User — If audit committee documentation exists beyond test metadata, supply the full committee pack source file containing minutes, financial oversight reports, and control assessments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