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0"/>
        <w:gridCol w:w="3426"/>
      </w:tblGrid>
      <w:tr>
        <w:tc>
          <w:tcPr>
            <w:tcW w:type="dxa" w:w="5600"/>
            <w:tcBorders>
              <w:top w:val="none" w:color="FFFFFF" w:sz="0"/>
              <w:left w:val="none" w:color="FFFFFF" w:sz="0"/>
              <w:bottom w:val="none" w:color="FFFFFF" w:sz="0"/>
              <w:right w:val="none" w:color="FFFFFF" w:sz="0"/>
            </w:tcBorders>
            <w:tcMar>
              <w:top w:type="dxa" w:w="0"/>
              <w:left w:type="dxa" w:w="0"/>
              <w:bottom w:type="dxa" w:w="0"/>
              <w:right w:type="dxa" w:w="200"/>
            </w:tcMar>
          </w:tcPr>
          <w:p>
            <w:pPr>
              <w:spacing w:after="40"/>
            </w:pPr>
            <w:r>
              <w:rPr>
                <w:rFonts w:ascii="Calibri" w:cs="Calibri" w:eastAsia="Calibri" w:hAnsi="Calibri"/>
                <w:b/>
                <w:bCs/>
                <w:color w:val="0D1B2A"/>
                <w:sz w:val="52"/>
                <w:szCs w:val="52"/>
              </w:rPr>
              <w:t xml:space="preserve">LEMASY</w:t>
            </w:r>
          </w:p>
          <w:p>
            <w:pPr>
              <w:spacing w:after="40"/>
            </w:pPr>
            <w:r>
              <w:rPr>
                <w:rFonts w:ascii="Calibri" w:cs="Calibri" w:eastAsia="Calibri" w:hAnsi="Calibri"/>
                <w:color w:val="00B4D8"/>
                <w:sz w:val="22"/>
                <w:szCs w:val="22"/>
              </w:rPr>
              <w:t xml:space="preserve">AI Intelligence Solutions</w:t>
            </w:r>
          </w:p>
          <w:p>
            <w:pPr>
              <w:spacing w:after="40"/>
            </w:pPr>
            <w:r>
              <w:rPr>
                <w:rFonts w:ascii="Calibri" w:cs="Calibri" w:eastAsia="Calibri" w:hAnsi="Calibri"/>
                <w:color w:val="7B8FA6"/>
                <w:sz w:val="18"/>
                <w:szCs w:val="18"/>
              </w:rPr>
              <w:t xml:space="preserve">Nairobi, Kenya  |  Johannesburg, South Africa</w:t>
            </w:r>
          </w:p>
        </w:tc>
        <w:tc>
          <w:tcPr>
            <w:tcW w:type="dxa" w:w="3426"/>
            <w:tcBorders>
              <w:top w:val="none" w:color="FFFFFF" w:sz="0"/>
              <w:left w:val="none" w:color="FFFFFF" w:sz="0"/>
              <w:bottom w:val="none" w:color="FFFFFF" w:sz="0"/>
              <w:right w:val="none" w:color="FFFFFF" w:sz="0"/>
            </w:tcBorders>
            <w:tcMar>
              <w:top w:type="dxa" w:w="0"/>
              <w:left w:type="dxa" w:w="200"/>
              <w:bottom w:type="dxa" w:w="0"/>
              <w:right w:type="dxa" w:w="0"/>
            </w:tcMar>
            <w:vAlign w:val="bottom"/>
          </w:tcPr>
          <w:p>
            <w:pPr>
              <w:jc w:val="right"/>
            </w:pPr>
            <w:r>
              <w:rPr>
                <w:rFonts w:ascii="Calibri" w:cs="Calibri" w:eastAsia="Calibri" w:hAnsi="Calibri"/>
                <w:b/>
                <w:bCs/>
                <w:color w:val="00B4D8"/>
                <w:sz w:val="17"/>
                <w:szCs w:val="17"/>
              </w:rPr>
              <w:t xml:space="preserve">FINANCIAL RESULTS REPORT — Q1 2025</w:t>
            </w:r>
          </w:p>
          <w:p>
            <w:pPr>
              <w:spacing w:before="40"/>
              <w:jc w:val="right"/>
            </w:pPr>
            <w:r>
              <w:rPr>
                <w:rFonts w:ascii="Calibri" w:cs="Calibri" w:eastAsia="Calibri" w:hAnsi="Calibri"/>
                <w:color w:val="7B8FA6"/>
                <w:sz w:val="16"/>
                <w:szCs w:val="16"/>
              </w:rPr>
              <w:t xml:space="preserve">Q1 2025  |  28 March 2025</w:t>
            </w:r>
          </w:p>
        </w:tc>
      </w:tr>
    </w:tbl>
    <w:p>
      <w:pPr>
        <w:pBdr>
          <w:bottom w:val="single" w:color="00B4D8" w:sz="8" w:space="1"/>
        </w:pBdr>
        <w:spacing w:after="0"/>
      </w:pPr>
    </w:p>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D1B2A"/>
                <w:sz w:val="20"/>
                <w:szCs w:val="20"/>
              </w:rPr>
              <w:t xml:space="preserve">Prepared by</w:t>
            </w:r>
          </w:p>
        </w:tc>
        <w:tc>
          <w:tcPr>
            <w:tcW w:type="dxa" w:w="7226"/>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Mr. Kwame Asante-Mensah</w:t>
            </w:r>
          </w:p>
        </w:tc>
      </w:tr>
      <w:tr>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D1B2A"/>
                <w:sz w:val="20"/>
                <w:szCs w:val="20"/>
              </w:rPr>
              <w:t xml:space="preserve">Role</w:t>
            </w:r>
          </w:p>
        </w:tc>
        <w:tc>
          <w:tcPr>
            <w:tcW w:type="dxa" w:w="7226"/>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Chief Financial Officer</w:t>
            </w:r>
          </w:p>
        </w:tc>
      </w:tr>
      <w:tr>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D1B2A"/>
                <w:sz w:val="20"/>
                <w:szCs w:val="20"/>
              </w:rPr>
              <w:t xml:space="preserve">Period</w:t>
            </w:r>
          </w:p>
        </w:tc>
        <w:tc>
          <w:tcPr>
            <w:tcW w:type="dxa" w:w="7226"/>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Q1 2025 2025  |  January – March 2025</w:t>
            </w:r>
          </w:p>
        </w:tc>
      </w:tr>
      <w:tr>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D1B2A"/>
                <w:sz w:val="20"/>
                <w:szCs w:val="20"/>
              </w:rPr>
              <w:t xml:space="preserve">Submitted to</w:t>
            </w:r>
          </w:p>
        </w:tc>
        <w:tc>
          <w:tcPr>
            <w:tcW w:type="dxa" w:w="7226"/>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Lemasy Board of Directors</w:t>
            </w:r>
          </w:p>
        </w:tc>
      </w:tr>
      <w:tr>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D1B2A"/>
                <w:sz w:val="20"/>
                <w:szCs w:val="20"/>
              </w:rPr>
              <w:t xml:space="preserve">Date</w:t>
            </w:r>
          </w:p>
        </w:tc>
        <w:tc>
          <w:tcPr>
            <w:tcW w:type="dxa" w:w="7226"/>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28 March 2025</w:t>
            </w:r>
          </w:p>
        </w:tc>
      </w:tr>
    </w:tbl>
    <w:p>
      <w:pPr>
        <w:spacing w:after="200" w:before="0"/>
      </w:pPr>
    </w:p>
    <w:p>
      <w:pPr>
        <w:pStyle w:val="Heading1"/>
        <w:spacing w:after="140" w:before="400"/>
      </w:pPr>
      <w:r>
        <w:rPr>
          <w:rFonts w:ascii="Calibri" w:cs="Calibri" w:eastAsia="Calibri" w:hAnsi="Calibri"/>
          <w:b/>
          <w:bCs/>
          <w:color w:val="0D1B2A"/>
          <w:sz w:val="30"/>
          <w:szCs w:val="30"/>
        </w:rPr>
        <w:t xml:space="preserve">1.  Financial Overview</w:t>
      </w:r>
    </w:p>
    <w:p>
      <w:pPr>
        <w:spacing w:after="120" w:before="80"/>
        <w:jc w:val="both"/>
      </w:pPr>
      <w:r>
        <w:rPr>
          <w:rFonts w:ascii="Calibri" w:cs="Calibri" w:eastAsia="Calibri" w:hAnsi="Calibri"/>
          <w:b w:val="false"/>
          <w:bCs w:val="false"/>
          <w:color w:val="1A1A2E"/>
          <w:sz w:val="22"/>
          <w:szCs w:val="22"/>
        </w:rPr>
        <w:t xml:space="preserve">This report presents the consolidated financial results for Lemasy Limited for the quarter ended 31 March 2025. All figures are reported in US Dollars (USD). The functional currencies of the Kenyan and South African operations are KES and ZAR respectively, translated at average Q1 2025 exchange rates of KES 131.4/USD and ZAR 18.6/USD.</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800"/>
        <w:gridCol w:w="1926"/>
      </w:tblGrid>
      <w:tr>
        <w:tc>
          <w:tcPr>
            <w:tcW w:type="dxa" w:w="35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Metric</w:t>
            </w:r>
          </w:p>
        </w:tc>
        <w:tc>
          <w:tcPr>
            <w:tcW w:type="dxa" w:w="18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Q1 2025</w:t>
            </w:r>
          </w:p>
        </w:tc>
        <w:tc>
          <w:tcPr>
            <w:tcW w:type="dxa" w:w="18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Target / Budget</w:t>
            </w:r>
          </w:p>
        </w:tc>
        <w:tc>
          <w:tcPr>
            <w:tcW w:type="dxa" w:w="1926"/>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Status</w:t>
            </w:r>
          </w:p>
        </w:tc>
      </w:tr>
      <w:tr>
        <w:tc>
          <w:tcPr>
            <w:tcW w:type="dxa" w:w="35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Total Revenue</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USD 2.14M</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1.80M budget</w:t>
            </w:r>
          </w:p>
        </w:tc>
        <w:tc>
          <w:tcPr>
            <w:tcW w:type="dxa" w:w="19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D4891A"/>
                <w:sz w:val="20"/>
                <w:szCs w:val="20"/>
              </w:rPr>
              <w:t xml:space="preserve">▲ +18.9% vs budget</w:t>
            </w:r>
          </w:p>
        </w:tc>
      </w:tr>
      <w:tr>
        <w:tc>
          <w:tcPr>
            <w:tcW w:type="dxa" w:w="35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Recurring Revenue (ARR base)</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USD 1.11M</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0.90M budget</w:t>
            </w:r>
          </w:p>
        </w:tc>
        <w:tc>
          <w:tcPr>
            <w:tcW w:type="dxa" w:w="19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D4891A"/>
                <w:sz w:val="20"/>
                <w:szCs w:val="20"/>
              </w:rPr>
              <w:t xml:space="preserve">▲ +23.3% vs budget</w:t>
            </w:r>
          </w:p>
        </w:tc>
      </w:tr>
      <w:tr>
        <w:tc>
          <w:tcPr>
            <w:tcW w:type="dxa" w:w="35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Project / Professional Services</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USD 1.03M</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0.90M budget</w:t>
            </w:r>
          </w:p>
        </w:tc>
        <w:tc>
          <w:tcPr>
            <w:tcW w:type="dxa" w:w="19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D4891A"/>
                <w:sz w:val="20"/>
                <w:szCs w:val="20"/>
              </w:rPr>
              <w:t xml:space="preserve">▲ +14.4% vs budget</w:t>
            </w:r>
          </w:p>
        </w:tc>
      </w:tr>
      <w:tr>
        <w:tc>
          <w:tcPr>
            <w:tcW w:type="dxa" w:w="35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Gross Profit</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USD 1.37M</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1.12M budget</w:t>
            </w:r>
          </w:p>
        </w:tc>
        <w:tc>
          <w:tcPr>
            <w:tcW w:type="dxa" w:w="19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D4891A"/>
                <w:sz w:val="20"/>
                <w:szCs w:val="20"/>
              </w:rPr>
              <w:t xml:space="preserve">▲ +22.3%</w:t>
            </w:r>
          </w:p>
        </w:tc>
      </w:tr>
      <w:tr>
        <w:tc>
          <w:tcPr>
            <w:tcW w:type="dxa" w:w="35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Gross Profit Margin</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64.2%</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62.0% budget</w:t>
            </w:r>
          </w:p>
        </w:tc>
        <w:tc>
          <w:tcPr>
            <w:tcW w:type="dxa" w:w="19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D4891A"/>
                <w:sz w:val="20"/>
                <w:szCs w:val="20"/>
              </w:rPr>
              <w:t xml:space="preserve">▲ +2.2pp</w:t>
            </w:r>
          </w:p>
        </w:tc>
      </w:tr>
      <w:tr>
        <w:tc>
          <w:tcPr>
            <w:tcW w:type="dxa" w:w="35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Total Operating Expenses</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USD 0.99M</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0.90M budget</w:t>
            </w:r>
          </w:p>
        </w:tc>
        <w:tc>
          <w:tcPr>
            <w:tcW w:type="dxa" w:w="19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D4891A"/>
                <w:sz w:val="20"/>
                <w:szCs w:val="20"/>
              </w:rPr>
              <w:t xml:space="preserve">▼ Over budget — headcount</w:t>
            </w:r>
          </w:p>
        </w:tc>
      </w:tr>
      <w:tr>
        <w:tc>
          <w:tcPr>
            <w:tcW w:type="dxa" w:w="35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EBITDA</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USD 0.38M</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0.22M budget</w:t>
            </w:r>
          </w:p>
        </w:tc>
        <w:tc>
          <w:tcPr>
            <w:tcW w:type="dxa" w:w="19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D4891A"/>
                <w:sz w:val="20"/>
                <w:szCs w:val="20"/>
              </w:rPr>
              <w:t xml:space="preserve">▲ +72.7%</w:t>
            </w:r>
          </w:p>
        </w:tc>
      </w:tr>
      <w:tr>
        <w:tc>
          <w:tcPr>
            <w:tcW w:type="dxa" w:w="35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EBITDA Margin</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17.8%</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12.2% budget</w:t>
            </w:r>
          </w:p>
        </w:tc>
        <w:tc>
          <w:tcPr>
            <w:tcW w:type="dxa" w:w="19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D4891A"/>
                <w:sz w:val="20"/>
                <w:szCs w:val="20"/>
              </w:rPr>
              <w:t xml:space="preserve">▲ +5.6pp</w:t>
            </w:r>
          </w:p>
        </w:tc>
      </w:tr>
      <w:tr>
        <w:tc>
          <w:tcPr>
            <w:tcW w:type="dxa" w:w="35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Net Profit (PBT)</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USD 0.31M</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0.15M budget</w:t>
            </w:r>
          </w:p>
        </w:tc>
        <w:tc>
          <w:tcPr>
            <w:tcW w:type="dxa" w:w="19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D4891A"/>
                <w:sz w:val="20"/>
                <w:szCs w:val="20"/>
              </w:rPr>
              <w:t xml:space="preserve">▲ +106.7%</w:t>
            </w:r>
          </w:p>
        </w:tc>
      </w:tr>
      <w:tr>
        <w:tc>
          <w:tcPr>
            <w:tcW w:type="dxa" w:w="35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Cash and Cash Equivalents</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USD 1.84M</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 USD 1.0M minimum</w:t>
            </w:r>
          </w:p>
        </w:tc>
        <w:tc>
          <w:tcPr>
            <w:tcW w:type="dxa" w:w="19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1D7A55"/>
                <w:sz w:val="20"/>
                <w:szCs w:val="20"/>
              </w:rPr>
              <w:t xml:space="preserve">Green</w:t>
            </w:r>
          </w:p>
        </w:tc>
      </w:tr>
      <w:tr>
        <w:tc>
          <w:tcPr>
            <w:tcW w:type="dxa" w:w="35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Accounts Receivable (Overdue &gt; 60 days)</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USD 0.08M</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&lt; USD 0.10M</w:t>
            </w:r>
          </w:p>
        </w:tc>
        <w:tc>
          <w:tcPr>
            <w:tcW w:type="dxa" w:w="19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1D7A55"/>
                <w:sz w:val="20"/>
                <w:szCs w:val="20"/>
              </w:rPr>
              <w:t xml:space="preserve">Green</w:t>
            </w:r>
          </w:p>
        </w:tc>
      </w:tr>
      <w:tr>
        <w:tc>
          <w:tcPr>
            <w:tcW w:type="dxa" w:w="35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Annual Recurring Revenue (ARR)</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USD 4.80M</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4.20M</w:t>
            </w:r>
          </w:p>
        </w:tc>
        <w:tc>
          <w:tcPr>
            <w:tcW w:type="dxa" w:w="19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D4891A"/>
                <w:sz w:val="20"/>
                <w:szCs w:val="20"/>
              </w:rPr>
              <w:t xml:space="preserve">▲ +14.3%</w:t>
            </w:r>
          </w:p>
        </w:tc>
      </w:tr>
    </w:tbl>
    <w:p>
      <w:pPr>
        <w:spacing w:after="160" w:before="0"/>
      </w:pPr>
    </w:p>
    <w:p>
      <w:pPr>
        <w:pStyle w:val="Heading1"/>
        <w:spacing w:after="140" w:before="400"/>
      </w:pPr>
      <w:r>
        <w:rPr>
          <w:rFonts w:ascii="Calibri" w:cs="Calibri" w:eastAsia="Calibri" w:hAnsi="Calibri"/>
          <w:b/>
          <w:bCs/>
          <w:color w:val="0D1B2A"/>
          <w:sz w:val="30"/>
          <w:szCs w:val="30"/>
        </w:rPr>
        <w:t xml:space="preserve">2.  Income Statement — Q1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1600"/>
        <w:gridCol w:w="2026"/>
      </w:tblGrid>
      <w:tr>
        <w:tc>
          <w:tcPr>
            <w:tcW w:type="dxa" w:w="38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Line Item</w:t>
            </w:r>
          </w:p>
        </w:tc>
        <w:tc>
          <w:tcPr>
            <w:tcW w:type="dxa" w:w="16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center"/>
            </w:pPr>
            <w:r>
              <w:rPr>
                <w:rFonts w:ascii="Calibri" w:cs="Calibri" w:eastAsia="Calibri" w:hAnsi="Calibri"/>
                <w:b/>
                <w:bCs/>
                <w:color w:val="FFFFFF"/>
                <w:sz w:val="20"/>
                <w:szCs w:val="20"/>
              </w:rPr>
              <w:t xml:space="preserve">Q1 2025</w:t>
            </w:r>
          </w:p>
        </w:tc>
        <w:tc>
          <w:tcPr>
            <w:tcW w:type="dxa" w:w="16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center"/>
            </w:pPr>
            <w:r>
              <w:rPr>
                <w:rFonts w:ascii="Calibri" w:cs="Calibri" w:eastAsia="Calibri" w:hAnsi="Calibri"/>
                <w:b/>
                <w:bCs/>
                <w:color w:val="FFFFFF"/>
                <w:sz w:val="20"/>
                <w:szCs w:val="20"/>
              </w:rPr>
              <w:t xml:space="preserve">Q1 2024</w:t>
            </w:r>
          </w:p>
        </w:tc>
        <w:tc>
          <w:tcPr>
            <w:tcW w:type="dxa" w:w="2026"/>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center"/>
            </w:pPr>
            <w:r>
              <w:rPr>
                <w:rFonts w:ascii="Calibri" w:cs="Calibri" w:eastAsia="Calibri" w:hAnsi="Calibri"/>
                <w:b/>
                <w:bCs/>
                <w:color w:val="FFFFFF"/>
                <w:sz w:val="20"/>
                <w:szCs w:val="20"/>
              </w:rPr>
              <w:t xml:space="preserve">YoY</w:t>
            </w:r>
          </w:p>
        </w:tc>
      </w:tr>
      <w:tr>
        <w:tc>
          <w:tcPr>
            <w:tcW w:type="dxa" w:w="3800"/>
            <w:tcBorders>
              <w:top w:val="single" w:color="CDD8E3" w:sz="1"/>
              <w:left w:val="single" w:color="CDD8E3" w:sz="1"/>
              <w:bottom w:val="single" w:color="CDD8E3" w:sz="1"/>
              <w:right w:val="single" w:color="CDD8E3" w:sz="1"/>
            </w:tcBorders>
            <w:shd w:fill="1E3A5F"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REVENUE</w:t>
            </w:r>
          </w:p>
        </w:tc>
        <w:tc>
          <w:tcPr>
            <w:tcW w:type="dxa" w:w="1600"/>
            <w:tcBorders>
              <w:top w:val="single" w:color="CDD8E3" w:sz="1"/>
              <w:left w:val="single" w:color="CDD8E3" w:sz="1"/>
              <w:bottom w:val="single" w:color="CDD8E3" w:sz="1"/>
              <w:right w:val="single" w:color="CDD8E3" w:sz="1"/>
            </w:tcBorders>
            <w:shd w:fill="1E3A5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
            </w:r>
          </w:p>
        </w:tc>
        <w:tc>
          <w:tcPr>
            <w:tcW w:type="dxa" w:w="1600"/>
            <w:tcBorders>
              <w:top w:val="single" w:color="CDD8E3" w:sz="1"/>
              <w:left w:val="single" w:color="CDD8E3" w:sz="1"/>
              <w:bottom w:val="single" w:color="CDD8E3" w:sz="1"/>
              <w:right w:val="single" w:color="CDD8E3" w:sz="1"/>
            </w:tcBorders>
            <w:shd w:fill="1E3A5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
            </w:r>
          </w:p>
        </w:tc>
        <w:tc>
          <w:tcPr>
            <w:tcW w:type="dxa" w:w="2026"/>
            <w:tcBorders>
              <w:top w:val="single" w:color="CDD8E3" w:sz="1"/>
              <w:left w:val="single" w:color="CDD8E3" w:sz="1"/>
              <w:bottom w:val="single" w:color="CDD8E3" w:sz="1"/>
              <w:right w:val="single" w:color="CDD8E3" w:sz="1"/>
            </w:tcBorders>
            <w:shd w:fill="1E3A5F" w:val="clear"/>
            <w:tcMar>
              <w:top w:type="dxa" w:w="100"/>
              <w:left w:type="dxa" w:w="140"/>
              <w:bottom w:type="dxa" w:w="100"/>
              <w:right w:type="dxa" w:w="140"/>
            </w:tcMar>
            <w:vAlign w:val="top"/>
          </w:tcPr>
          <w:p>
            <w:pPr>
              <w:jc w:val="center"/>
            </w:pPr>
            <w:r>
              <w:rPr>
                <w:rFonts w:ascii="Calibri" w:cs="Calibri" w:eastAsia="Calibri" w:hAnsi="Calibri"/>
                <w:b w:val="false"/>
                <w:bCs w:val="false"/>
                <w:color w:val="FFFFFF"/>
                <w:sz w:val="20"/>
                <w:szCs w:val="20"/>
              </w:rPr>
              <w:t xml:space="preserve"/>
            </w:r>
          </w:p>
        </w:tc>
      </w:tr>
      <w:tr>
        <w:tc>
          <w:tcPr>
            <w:tcW w:type="dxa" w:w="3800"/>
            <w:tcBorders>
              <w:top w:val="single" w:color="CDD8E3" w:sz="1"/>
              <w:left w:val="single" w:color="CDD8E3" w:sz="1"/>
              <w:bottom w:val="single" w:color="CDD8E3" w:sz="1"/>
              <w:right w:val="single" w:color="CDD8E3" w:sz="1"/>
            </w:tcBorders>
            <w:shd w:fill="F7FBFE"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Subscription &amp; Recurring Licences</w:t>
            </w:r>
          </w:p>
        </w:tc>
        <w:tc>
          <w:tcPr>
            <w:tcW w:type="dxa" w:w="1600"/>
            <w:tcBorders>
              <w:top w:val="single" w:color="CDD8E3" w:sz="1"/>
              <w:left w:val="single" w:color="CDD8E3" w:sz="1"/>
              <w:bottom w:val="single" w:color="CDD8E3" w:sz="1"/>
              <w:right w:val="single" w:color="CDD8E3" w:sz="1"/>
            </w:tcBorders>
            <w:shd w:fill="F7FBFE"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1,112,000</w:t>
            </w:r>
          </w:p>
        </w:tc>
        <w:tc>
          <w:tcPr>
            <w:tcW w:type="dxa" w:w="1600"/>
            <w:tcBorders>
              <w:top w:val="single" w:color="CDD8E3" w:sz="1"/>
              <w:left w:val="single" w:color="CDD8E3" w:sz="1"/>
              <w:bottom w:val="single" w:color="CDD8E3" w:sz="1"/>
              <w:right w:val="single" w:color="CDD8E3" w:sz="1"/>
            </w:tcBorders>
            <w:shd w:fill="F7FBFE"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768,000</w:t>
            </w:r>
          </w:p>
        </w:tc>
        <w:tc>
          <w:tcPr>
            <w:tcW w:type="dxa" w:w="2026"/>
            <w:tcBorders>
              <w:top w:val="single" w:color="CDD8E3" w:sz="1"/>
              <w:left w:val="single" w:color="CDD8E3" w:sz="1"/>
              <w:bottom w:val="single" w:color="CDD8E3" w:sz="1"/>
              <w:right w:val="single" w:color="CDD8E3" w:sz="1"/>
            </w:tcBorders>
            <w:shd w:fill="F7FBFE" w:val="clear"/>
            <w:tcMar>
              <w:top w:type="dxa" w:w="100"/>
              <w:left w:type="dxa" w:w="140"/>
              <w:bottom w:type="dxa" w:w="100"/>
              <w:right w:type="dxa" w:w="140"/>
            </w:tcMar>
            <w:vAlign w:val="top"/>
          </w:tcPr>
          <w:p>
            <w:pPr>
              <w:jc w:val="center"/>
            </w:pPr>
            <w:r>
              <w:rPr>
                <w:rFonts w:ascii="Calibri" w:cs="Calibri" w:eastAsia="Calibri" w:hAnsi="Calibri"/>
                <w:b w:val="false"/>
                <w:bCs w:val="false"/>
                <w:color w:val="1D7A55"/>
                <w:sz w:val="20"/>
                <w:szCs w:val="20"/>
              </w:rPr>
              <w:t xml:space="preserve">+44.8%</w:t>
            </w:r>
          </w:p>
        </w:tc>
      </w:tr>
      <w:tr>
        <w:tc>
          <w:tcPr>
            <w:tcW w:type="dxa" w:w="3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Professional Services &amp; Projects</w:t>
            </w:r>
          </w:p>
        </w:tc>
        <w:tc>
          <w:tcPr>
            <w:tcW w:type="dxa" w:w="16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1,028,000</w:t>
            </w:r>
          </w:p>
        </w:tc>
        <w:tc>
          <w:tcPr>
            <w:tcW w:type="dxa" w:w="16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822,000</w:t>
            </w:r>
          </w:p>
        </w:tc>
        <w:tc>
          <w:tcPr>
            <w:tcW w:type="dxa" w:w="20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D7A55"/>
                <w:sz w:val="20"/>
                <w:szCs w:val="20"/>
              </w:rPr>
              <w:t xml:space="preserve">+25.1%</w:t>
            </w:r>
          </w:p>
        </w:tc>
      </w:tr>
      <w:tr>
        <w:tc>
          <w:tcPr>
            <w:tcW w:type="dxa" w:w="3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1A1A2E"/>
                <w:sz w:val="20"/>
                <w:szCs w:val="20"/>
              </w:rPr>
              <w:t xml:space="preserve">Total Revenue</w:t>
            </w:r>
          </w:p>
        </w:tc>
        <w:tc>
          <w:tcPr>
            <w:tcW w:type="dxa" w:w="16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1A1A2E"/>
                <w:sz w:val="20"/>
                <w:szCs w:val="20"/>
              </w:rPr>
              <w:t xml:space="preserve">USD 2,140,000</w:t>
            </w:r>
          </w:p>
        </w:tc>
        <w:tc>
          <w:tcPr>
            <w:tcW w:type="dxa" w:w="16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1A1A2E"/>
                <w:sz w:val="20"/>
                <w:szCs w:val="20"/>
              </w:rPr>
              <w:t xml:space="preserve">USD 1,590,000</w:t>
            </w:r>
          </w:p>
        </w:tc>
        <w:tc>
          <w:tcPr>
            <w:tcW w:type="dxa" w:w="20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1D7A55"/>
                <w:sz w:val="20"/>
                <w:szCs w:val="20"/>
              </w:rPr>
              <w:t xml:space="preserve">+34.6%</w:t>
            </w:r>
          </w:p>
        </w:tc>
      </w:tr>
      <w:tr>
        <w:tc>
          <w:tcPr>
            <w:tcW w:type="dxa" w:w="3800"/>
            <w:tcBorders>
              <w:top w:val="single" w:color="CDD8E3" w:sz="1"/>
              <w:left w:val="single" w:color="CDD8E3" w:sz="1"/>
              <w:bottom w:val="single" w:color="CDD8E3" w:sz="1"/>
              <w:right w:val="single" w:color="CDD8E3" w:sz="1"/>
            </w:tcBorders>
            <w:shd w:fill="1E3A5F"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COST OF REVENUE</w:t>
            </w:r>
          </w:p>
        </w:tc>
        <w:tc>
          <w:tcPr>
            <w:tcW w:type="dxa" w:w="1600"/>
            <w:tcBorders>
              <w:top w:val="single" w:color="CDD8E3" w:sz="1"/>
              <w:left w:val="single" w:color="CDD8E3" w:sz="1"/>
              <w:bottom w:val="single" w:color="CDD8E3" w:sz="1"/>
              <w:right w:val="single" w:color="CDD8E3" w:sz="1"/>
            </w:tcBorders>
            <w:shd w:fill="1E3A5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
            </w:r>
          </w:p>
        </w:tc>
        <w:tc>
          <w:tcPr>
            <w:tcW w:type="dxa" w:w="1600"/>
            <w:tcBorders>
              <w:top w:val="single" w:color="CDD8E3" w:sz="1"/>
              <w:left w:val="single" w:color="CDD8E3" w:sz="1"/>
              <w:bottom w:val="single" w:color="CDD8E3" w:sz="1"/>
              <w:right w:val="single" w:color="CDD8E3" w:sz="1"/>
            </w:tcBorders>
            <w:shd w:fill="1E3A5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
            </w:r>
          </w:p>
        </w:tc>
        <w:tc>
          <w:tcPr>
            <w:tcW w:type="dxa" w:w="2026"/>
            <w:tcBorders>
              <w:top w:val="single" w:color="CDD8E3" w:sz="1"/>
              <w:left w:val="single" w:color="CDD8E3" w:sz="1"/>
              <w:bottom w:val="single" w:color="CDD8E3" w:sz="1"/>
              <w:right w:val="single" w:color="CDD8E3" w:sz="1"/>
            </w:tcBorders>
            <w:shd w:fill="1E3A5F" w:val="clear"/>
            <w:tcMar>
              <w:top w:type="dxa" w:w="100"/>
              <w:left w:type="dxa" w:w="140"/>
              <w:bottom w:type="dxa" w:w="100"/>
              <w:right w:type="dxa" w:w="140"/>
            </w:tcMar>
            <w:vAlign w:val="top"/>
          </w:tcPr>
          <w:p>
            <w:pPr>
              <w:jc w:val="center"/>
            </w:pPr>
            <w:r>
              <w:rPr>
                <w:rFonts w:ascii="Calibri" w:cs="Calibri" w:eastAsia="Calibri" w:hAnsi="Calibri"/>
                <w:b w:val="false"/>
                <w:bCs w:val="false"/>
                <w:color w:val="FFFFFF"/>
                <w:sz w:val="20"/>
                <w:szCs w:val="20"/>
              </w:rPr>
              <w:t xml:space="preserve"/>
            </w:r>
          </w:p>
        </w:tc>
      </w:tr>
      <w:tr>
        <w:tc>
          <w:tcPr>
            <w:tcW w:type="dxa" w:w="3800"/>
            <w:tcBorders>
              <w:top w:val="single" w:color="CDD8E3" w:sz="1"/>
              <w:left w:val="single" w:color="CDD8E3" w:sz="1"/>
              <w:bottom w:val="single" w:color="CDD8E3" w:sz="1"/>
              <w:right w:val="single" w:color="CDD8E3" w:sz="1"/>
            </w:tcBorders>
            <w:shd w:fill="F7FBFE"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Engineering &amp; Delivery Costs</w:t>
            </w:r>
          </w:p>
        </w:tc>
        <w:tc>
          <w:tcPr>
            <w:tcW w:type="dxa" w:w="1600"/>
            <w:tcBorders>
              <w:top w:val="single" w:color="CDD8E3" w:sz="1"/>
              <w:left w:val="single" w:color="CDD8E3" w:sz="1"/>
              <w:bottom w:val="single" w:color="CDD8E3" w:sz="1"/>
              <w:right w:val="single" w:color="CDD8E3" w:sz="1"/>
            </w:tcBorders>
            <w:shd w:fill="F7FBFE"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559,000)</w:t>
            </w:r>
          </w:p>
        </w:tc>
        <w:tc>
          <w:tcPr>
            <w:tcW w:type="dxa" w:w="1600"/>
            <w:tcBorders>
              <w:top w:val="single" w:color="CDD8E3" w:sz="1"/>
              <w:left w:val="single" w:color="CDD8E3" w:sz="1"/>
              <w:bottom w:val="single" w:color="CDD8E3" w:sz="1"/>
              <w:right w:val="single" w:color="CDD8E3" w:sz="1"/>
            </w:tcBorders>
            <w:shd w:fill="F7FBFE"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448,000)</w:t>
            </w:r>
          </w:p>
        </w:tc>
        <w:tc>
          <w:tcPr>
            <w:tcW w:type="dxa" w:w="2026"/>
            <w:tcBorders>
              <w:top w:val="single" w:color="CDD8E3" w:sz="1"/>
              <w:left w:val="single" w:color="CDD8E3" w:sz="1"/>
              <w:bottom w:val="single" w:color="CDD8E3" w:sz="1"/>
              <w:right w:val="single" w:color="CDD8E3" w:sz="1"/>
            </w:tcBorders>
            <w:shd w:fill="F7FBFE" w:val="clear"/>
            <w:tcMar>
              <w:top w:type="dxa" w:w="100"/>
              <w:left w:type="dxa" w:w="140"/>
              <w:bottom w:type="dxa" w:w="100"/>
              <w:right w:type="dxa" w:w="140"/>
            </w:tcMar>
            <w:vAlign w:val="top"/>
          </w:tcPr>
          <w:p>
            <w:pPr>
              <w:jc w:val="center"/>
            </w:pPr>
            <w:r>
              <w:rPr>
                <w:rFonts w:ascii="Calibri" w:cs="Calibri" w:eastAsia="Calibri" w:hAnsi="Calibri"/>
                <w:b w:val="false"/>
                <w:bCs w:val="false"/>
                <w:color w:val="1D7A55"/>
                <w:sz w:val="20"/>
                <w:szCs w:val="20"/>
              </w:rPr>
              <w:t xml:space="preserve">▲ +24.8%</w:t>
            </w:r>
          </w:p>
        </w:tc>
      </w:tr>
      <w:tr>
        <w:tc>
          <w:tcPr>
            <w:tcW w:type="dxa" w:w="3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Cloud &amp; Infrastructure Costs</w:t>
            </w:r>
          </w:p>
        </w:tc>
        <w:tc>
          <w:tcPr>
            <w:tcW w:type="dxa" w:w="16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107,000)</w:t>
            </w:r>
          </w:p>
        </w:tc>
        <w:tc>
          <w:tcPr>
            <w:tcW w:type="dxa" w:w="16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84,000)</w:t>
            </w:r>
          </w:p>
        </w:tc>
        <w:tc>
          <w:tcPr>
            <w:tcW w:type="dxa" w:w="20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D7A55"/>
                <w:sz w:val="20"/>
                <w:szCs w:val="20"/>
              </w:rPr>
              <w:t xml:space="preserve">▲ +27.4%</w:t>
            </w:r>
          </w:p>
        </w:tc>
      </w:tr>
      <w:tr>
        <w:tc>
          <w:tcPr>
            <w:tcW w:type="dxa" w:w="3800"/>
            <w:tcBorders>
              <w:top w:val="single" w:color="CDD8E3" w:sz="1"/>
              <w:left w:val="single" w:color="CDD8E3" w:sz="1"/>
              <w:bottom w:val="single" w:color="CDD8E3" w:sz="1"/>
              <w:right w:val="single" w:color="CDD8E3" w:sz="1"/>
            </w:tcBorders>
            <w:shd w:fill="F7FBFE"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Third-Party Data &amp; API Costs</w:t>
            </w:r>
          </w:p>
        </w:tc>
        <w:tc>
          <w:tcPr>
            <w:tcW w:type="dxa" w:w="1600"/>
            <w:tcBorders>
              <w:top w:val="single" w:color="CDD8E3" w:sz="1"/>
              <w:left w:val="single" w:color="CDD8E3" w:sz="1"/>
              <w:bottom w:val="single" w:color="CDD8E3" w:sz="1"/>
              <w:right w:val="single" w:color="CDD8E3" w:sz="1"/>
            </w:tcBorders>
            <w:shd w:fill="F7FBFE"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102,000)</w:t>
            </w:r>
          </w:p>
        </w:tc>
        <w:tc>
          <w:tcPr>
            <w:tcW w:type="dxa" w:w="1600"/>
            <w:tcBorders>
              <w:top w:val="single" w:color="CDD8E3" w:sz="1"/>
              <w:left w:val="single" w:color="CDD8E3" w:sz="1"/>
              <w:bottom w:val="single" w:color="CDD8E3" w:sz="1"/>
              <w:right w:val="single" w:color="CDD8E3" w:sz="1"/>
            </w:tcBorders>
            <w:shd w:fill="F7FBFE"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68,000)</w:t>
            </w:r>
          </w:p>
        </w:tc>
        <w:tc>
          <w:tcPr>
            <w:tcW w:type="dxa" w:w="2026"/>
            <w:tcBorders>
              <w:top w:val="single" w:color="CDD8E3" w:sz="1"/>
              <w:left w:val="single" w:color="CDD8E3" w:sz="1"/>
              <w:bottom w:val="single" w:color="CDD8E3" w:sz="1"/>
              <w:right w:val="single" w:color="CDD8E3" w:sz="1"/>
            </w:tcBorders>
            <w:shd w:fill="F7FBFE" w:val="clear"/>
            <w:tcMar>
              <w:top w:type="dxa" w:w="100"/>
              <w:left w:type="dxa" w:w="140"/>
              <w:bottom w:type="dxa" w:w="100"/>
              <w:right w:type="dxa" w:w="140"/>
            </w:tcMar>
            <w:vAlign w:val="top"/>
          </w:tcPr>
          <w:p>
            <w:pPr>
              <w:jc w:val="center"/>
            </w:pPr>
            <w:r>
              <w:rPr>
                <w:rFonts w:ascii="Calibri" w:cs="Calibri" w:eastAsia="Calibri" w:hAnsi="Calibri"/>
                <w:b w:val="false"/>
                <w:bCs w:val="false"/>
                <w:color w:val="1D7A55"/>
                <w:sz w:val="20"/>
                <w:szCs w:val="20"/>
              </w:rPr>
              <w:t xml:space="preserve">▲ +50.0%</w:t>
            </w:r>
          </w:p>
        </w:tc>
      </w:tr>
      <w:tr>
        <w:tc>
          <w:tcPr>
            <w:tcW w:type="dxa" w:w="3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1A1A2E"/>
                <w:sz w:val="20"/>
                <w:szCs w:val="20"/>
              </w:rPr>
              <w:t xml:space="preserve">Total Cost of Revenue</w:t>
            </w:r>
          </w:p>
        </w:tc>
        <w:tc>
          <w:tcPr>
            <w:tcW w:type="dxa" w:w="16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1A1A2E"/>
                <w:sz w:val="20"/>
                <w:szCs w:val="20"/>
              </w:rPr>
              <w:t xml:space="preserve">(USD 768,000)</w:t>
            </w:r>
          </w:p>
        </w:tc>
        <w:tc>
          <w:tcPr>
            <w:tcW w:type="dxa" w:w="16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1A1A2E"/>
                <w:sz w:val="20"/>
                <w:szCs w:val="20"/>
              </w:rPr>
              <w:t xml:space="preserve">(USD 600,000)</w:t>
            </w:r>
          </w:p>
        </w:tc>
        <w:tc>
          <w:tcPr>
            <w:tcW w:type="dxa" w:w="20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1D7A55"/>
                <w:sz w:val="20"/>
                <w:szCs w:val="20"/>
              </w:rPr>
              <w:t xml:space="preserve">▲ +28.0%</w:t>
            </w:r>
          </w:p>
        </w:tc>
      </w:tr>
      <w:tr>
        <w:tc>
          <w:tcPr>
            <w:tcW w:type="dxa" w:w="3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1A1A2E"/>
                <w:sz w:val="20"/>
                <w:szCs w:val="20"/>
              </w:rPr>
              <w:t xml:space="preserve">GROSS PROFIT</w:t>
            </w:r>
          </w:p>
        </w:tc>
        <w:tc>
          <w:tcPr>
            <w:tcW w:type="dxa" w:w="16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1A1A2E"/>
                <w:sz w:val="20"/>
                <w:szCs w:val="20"/>
              </w:rPr>
              <w:t xml:space="preserve">USD 1,372,000</w:t>
            </w:r>
          </w:p>
        </w:tc>
        <w:tc>
          <w:tcPr>
            <w:tcW w:type="dxa" w:w="16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1A1A2E"/>
                <w:sz w:val="20"/>
                <w:szCs w:val="20"/>
              </w:rPr>
              <w:t xml:space="preserve">USD 990,000</w:t>
            </w:r>
          </w:p>
        </w:tc>
        <w:tc>
          <w:tcPr>
            <w:tcW w:type="dxa" w:w="20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1D7A55"/>
                <w:sz w:val="20"/>
                <w:szCs w:val="20"/>
              </w:rPr>
              <w:t xml:space="preserve">+38.6%</w:t>
            </w:r>
          </w:p>
        </w:tc>
      </w:tr>
      <w:tr>
        <w:tc>
          <w:tcPr>
            <w:tcW w:type="dxa" w:w="3800"/>
            <w:tcBorders>
              <w:top w:val="single" w:color="CDD8E3" w:sz="1"/>
              <w:left w:val="single" w:color="CDD8E3" w:sz="1"/>
              <w:bottom w:val="single" w:color="CDD8E3" w:sz="1"/>
              <w:right w:val="single" w:color="CDD8E3" w:sz="1"/>
            </w:tcBorders>
            <w:shd w:fill="1E3A5F"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OPERATING EXPENSES</w:t>
            </w:r>
          </w:p>
        </w:tc>
        <w:tc>
          <w:tcPr>
            <w:tcW w:type="dxa" w:w="1600"/>
            <w:tcBorders>
              <w:top w:val="single" w:color="CDD8E3" w:sz="1"/>
              <w:left w:val="single" w:color="CDD8E3" w:sz="1"/>
              <w:bottom w:val="single" w:color="CDD8E3" w:sz="1"/>
              <w:right w:val="single" w:color="CDD8E3" w:sz="1"/>
            </w:tcBorders>
            <w:shd w:fill="1E3A5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
            </w:r>
          </w:p>
        </w:tc>
        <w:tc>
          <w:tcPr>
            <w:tcW w:type="dxa" w:w="1600"/>
            <w:tcBorders>
              <w:top w:val="single" w:color="CDD8E3" w:sz="1"/>
              <w:left w:val="single" w:color="CDD8E3" w:sz="1"/>
              <w:bottom w:val="single" w:color="CDD8E3" w:sz="1"/>
              <w:right w:val="single" w:color="CDD8E3" w:sz="1"/>
            </w:tcBorders>
            <w:shd w:fill="1E3A5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
            </w:r>
          </w:p>
        </w:tc>
        <w:tc>
          <w:tcPr>
            <w:tcW w:type="dxa" w:w="2026"/>
            <w:tcBorders>
              <w:top w:val="single" w:color="CDD8E3" w:sz="1"/>
              <w:left w:val="single" w:color="CDD8E3" w:sz="1"/>
              <w:bottom w:val="single" w:color="CDD8E3" w:sz="1"/>
              <w:right w:val="single" w:color="CDD8E3" w:sz="1"/>
            </w:tcBorders>
            <w:shd w:fill="1E3A5F" w:val="clear"/>
            <w:tcMar>
              <w:top w:type="dxa" w:w="100"/>
              <w:left w:type="dxa" w:w="140"/>
              <w:bottom w:type="dxa" w:w="100"/>
              <w:right w:type="dxa" w:w="140"/>
            </w:tcMar>
            <w:vAlign w:val="top"/>
          </w:tcPr>
          <w:p>
            <w:pPr>
              <w:jc w:val="center"/>
            </w:pPr>
            <w:r>
              <w:rPr>
                <w:rFonts w:ascii="Calibri" w:cs="Calibri" w:eastAsia="Calibri" w:hAnsi="Calibri"/>
                <w:b w:val="false"/>
                <w:bCs w:val="false"/>
                <w:color w:val="FFFFFF"/>
                <w:sz w:val="20"/>
                <w:szCs w:val="20"/>
              </w:rPr>
              <w:t xml:space="preserve"/>
            </w:r>
          </w:p>
        </w:tc>
      </w:tr>
      <w:tr>
        <w:tc>
          <w:tcPr>
            <w:tcW w:type="dxa" w:w="3800"/>
            <w:tcBorders>
              <w:top w:val="single" w:color="CDD8E3" w:sz="1"/>
              <w:left w:val="single" w:color="CDD8E3" w:sz="1"/>
              <w:bottom w:val="single" w:color="CDD8E3" w:sz="1"/>
              <w:right w:val="single" w:color="CDD8E3" w:sz="1"/>
            </w:tcBorders>
            <w:shd w:fill="F7FBFE"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Sales &amp; Marketing</w:t>
            </w:r>
          </w:p>
        </w:tc>
        <w:tc>
          <w:tcPr>
            <w:tcW w:type="dxa" w:w="1600"/>
            <w:tcBorders>
              <w:top w:val="single" w:color="CDD8E3" w:sz="1"/>
              <w:left w:val="single" w:color="CDD8E3" w:sz="1"/>
              <w:bottom w:val="single" w:color="CDD8E3" w:sz="1"/>
              <w:right w:val="single" w:color="CDD8E3" w:sz="1"/>
            </w:tcBorders>
            <w:shd w:fill="F7FBFE"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284,000)</w:t>
            </w:r>
          </w:p>
        </w:tc>
        <w:tc>
          <w:tcPr>
            <w:tcW w:type="dxa" w:w="1600"/>
            <w:tcBorders>
              <w:top w:val="single" w:color="CDD8E3" w:sz="1"/>
              <w:left w:val="single" w:color="CDD8E3" w:sz="1"/>
              <w:bottom w:val="single" w:color="CDD8E3" w:sz="1"/>
              <w:right w:val="single" w:color="CDD8E3" w:sz="1"/>
            </w:tcBorders>
            <w:shd w:fill="F7FBFE"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218,000)</w:t>
            </w:r>
          </w:p>
        </w:tc>
        <w:tc>
          <w:tcPr>
            <w:tcW w:type="dxa" w:w="2026"/>
            <w:tcBorders>
              <w:top w:val="single" w:color="CDD8E3" w:sz="1"/>
              <w:left w:val="single" w:color="CDD8E3" w:sz="1"/>
              <w:bottom w:val="single" w:color="CDD8E3" w:sz="1"/>
              <w:right w:val="single" w:color="CDD8E3" w:sz="1"/>
            </w:tcBorders>
            <w:shd w:fill="F7FBFE" w:val="clear"/>
            <w:tcMar>
              <w:top w:type="dxa" w:w="100"/>
              <w:left w:type="dxa" w:w="140"/>
              <w:bottom w:type="dxa" w:w="100"/>
              <w:right w:type="dxa" w:w="140"/>
            </w:tcMar>
            <w:vAlign w:val="top"/>
          </w:tcPr>
          <w:p>
            <w:pPr>
              <w:jc w:val="center"/>
            </w:pPr>
            <w:r>
              <w:rPr>
                <w:rFonts w:ascii="Calibri" w:cs="Calibri" w:eastAsia="Calibri" w:hAnsi="Calibri"/>
                <w:b w:val="false"/>
                <w:bCs w:val="false"/>
                <w:color w:val="1D7A55"/>
                <w:sz w:val="20"/>
                <w:szCs w:val="20"/>
              </w:rPr>
              <w:t xml:space="preserve">▲ +30.3%</w:t>
            </w:r>
          </w:p>
        </w:tc>
      </w:tr>
      <w:tr>
        <w:tc>
          <w:tcPr>
            <w:tcW w:type="dxa" w:w="3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General &amp; Administrative</w:t>
            </w:r>
          </w:p>
        </w:tc>
        <w:tc>
          <w:tcPr>
            <w:tcW w:type="dxa" w:w="16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196,000)</w:t>
            </w:r>
          </w:p>
        </w:tc>
        <w:tc>
          <w:tcPr>
            <w:tcW w:type="dxa" w:w="16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162,000)</w:t>
            </w:r>
          </w:p>
        </w:tc>
        <w:tc>
          <w:tcPr>
            <w:tcW w:type="dxa" w:w="20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D7A55"/>
                <w:sz w:val="20"/>
                <w:szCs w:val="20"/>
              </w:rPr>
              <w:t xml:space="preserve">▲ +21.0%</w:t>
            </w:r>
          </w:p>
        </w:tc>
      </w:tr>
      <w:tr>
        <w:tc>
          <w:tcPr>
            <w:tcW w:type="dxa" w:w="3800"/>
            <w:tcBorders>
              <w:top w:val="single" w:color="CDD8E3" w:sz="1"/>
              <w:left w:val="single" w:color="CDD8E3" w:sz="1"/>
              <w:bottom w:val="single" w:color="CDD8E3" w:sz="1"/>
              <w:right w:val="single" w:color="CDD8E3" w:sz="1"/>
            </w:tcBorders>
            <w:shd w:fill="F7FBFE"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Research &amp; Development</w:t>
            </w:r>
          </w:p>
        </w:tc>
        <w:tc>
          <w:tcPr>
            <w:tcW w:type="dxa" w:w="1600"/>
            <w:tcBorders>
              <w:top w:val="single" w:color="CDD8E3" w:sz="1"/>
              <w:left w:val="single" w:color="CDD8E3" w:sz="1"/>
              <w:bottom w:val="single" w:color="CDD8E3" w:sz="1"/>
              <w:right w:val="single" w:color="CDD8E3" w:sz="1"/>
            </w:tcBorders>
            <w:shd w:fill="F7FBFE"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312,000)</w:t>
            </w:r>
          </w:p>
        </w:tc>
        <w:tc>
          <w:tcPr>
            <w:tcW w:type="dxa" w:w="1600"/>
            <w:tcBorders>
              <w:top w:val="single" w:color="CDD8E3" w:sz="1"/>
              <w:left w:val="single" w:color="CDD8E3" w:sz="1"/>
              <w:bottom w:val="single" w:color="CDD8E3" w:sz="1"/>
              <w:right w:val="single" w:color="CDD8E3" w:sz="1"/>
            </w:tcBorders>
            <w:shd w:fill="F7FBFE"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244,000)</w:t>
            </w:r>
          </w:p>
        </w:tc>
        <w:tc>
          <w:tcPr>
            <w:tcW w:type="dxa" w:w="2026"/>
            <w:tcBorders>
              <w:top w:val="single" w:color="CDD8E3" w:sz="1"/>
              <w:left w:val="single" w:color="CDD8E3" w:sz="1"/>
              <w:bottom w:val="single" w:color="CDD8E3" w:sz="1"/>
              <w:right w:val="single" w:color="CDD8E3" w:sz="1"/>
            </w:tcBorders>
            <w:shd w:fill="F7FBFE" w:val="clear"/>
            <w:tcMar>
              <w:top w:type="dxa" w:w="100"/>
              <w:left w:type="dxa" w:w="140"/>
              <w:bottom w:type="dxa" w:w="100"/>
              <w:right w:type="dxa" w:w="140"/>
            </w:tcMar>
            <w:vAlign w:val="top"/>
          </w:tcPr>
          <w:p>
            <w:pPr>
              <w:jc w:val="center"/>
            </w:pPr>
            <w:r>
              <w:rPr>
                <w:rFonts w:ascii="Calibri" w:cs="Calibri" w:eastAsia="Calibri" w:hAnsi="Calibri"/>
                <w:b w:val="false"/>
                <w:bCs w:val="false"/>
                <w:color w:val="1D7A55"/>
                <w:sz w:val="20"/>
                <w:szCs w:val="20"/>
              </w:rPr>
              <w:t xml:space="preserve">▲ +27.9%</w:t>
            </w:r>
          </w:p>
        </w:tc>
      </w:tr>
      <w:tr>
        <w:tc>
          <w:tcPr>
            <w:tcW w:type="dxa" w:w="3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1A1A2E"/>
                <w:sz w:val="20"/>
                <w:szCs w:val="20"/>
              </w:rPr>
              <w:t xml:space="preserve">Total Operating Expenses</w:t>
            </w:r>
          </w:p>
        </w:tc>
        <w:tc>
          <w:tcPr>
            <w:tcW w:type="dxa" w:w="16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1A1A2E"/>
                <w:sz w:val="20"/>
                <w:szCs w:val="20"/>
              </w:rPr>
              <w:t xml:space="preserve">(USD 792,000)</w:t>
            </w:r>
          </w:p>
        </w:tc>
        <w:tc>
          <w:tcPr>
            <w:tcW w:type="dxa" w:w="16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1A1A2E"/>
                <w:sz w:val="20"/>
                <w:szCs w:val="20"/>
              </w:rPr>
              <w:t xml:space="preserve">(USD 624,000)</w:t>
            </w:r>
          </w:p>
        </w:tc>
        <w:tc>
          <w:tcPr>
            <w:tcW w:type="dxa" w:w="20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1D7A55"/>
                <w:sz w:val="20"/>
                <w:szCs w:val="20"/>
              </w:rPr>
              <w:t xml:space="preserve">▲ +26.9%</w:t>
            </w:r>
          </w:p>
        </w:tc>
      </w:tr>
      <w:tr>
        <w:tc>
          <w:tcPr>
            <w:tcW w:type="dxa" w:w="3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1A1A2E"/>
                <w:sz w:val="20"/>
                <w:szCs w:val="20"/>
              </w:rPr>
              <w:t xml:space="preserve">EBITDA</w:t>
            </w:r>
          </w:p>
        </w:tc>
        <w:tc>
          <w:tcPr>
            <w:tcW w:type="dxa" w:w="16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1A1A2E"/>
                <w:sz w:val="20"/>
                <w:szCs w:val="20"/>
              </w:rPr>
              <w:t xml:space="preserve">USD 380,000</w:t>
            </w:r>
          </w:p>
        </w:tc>
        <w:tc>
          <w:tcPr>
            <w:tcW w:type="dxa" w:w="16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1A1A2E"/>
                <w:sz w:val="20"/>
                <w:szCs w:val="20"/>
              </w:rPr>
              <w:t xml:space="preserve">USD 232,000</w:t>
            </w:r>
          </w:p>
        </w:tc>
        <w:tc>
          <w:tcPr>
            <w:tcW w:type="dxa" w:w="20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1D7A55"/>
                <w:sz w:val="20"/>
                <w:szCs w:val="20"/>
              </w:rPr>
              <w:t xml:space="preserve">+63.8%</w:t>
            </w:r>
          </w:p>
        </w:tc>
      </w:tr>
      <w:tr>
        <w:tc>
          <w:tcPr>
            <w:tcW w:type="dxa" w:w="3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Depreciation &amp; Amortisation</w:t>
            </w:r>
          </w:p>
        </w:tc>
        <w:tc>
          <w:tcPr>
            <w:tcW w:type="dxa" w:w="16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72,000)</w:t>
            </w:r>
          </w:p>
        </w:tc>
        <w:tc>
          <w:tcPr>
            <w:tcW w:type="dxa" w:w="16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78,000)</w:t>
            </w:r>
          </w:p>
        </w:tc>
        <w:tc>
          <w:tcPr>
            <w:tcW w:type="dxa" w:w="20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D4891A"/>
                <w:sz w:val="20"/>
                <w:szCs w:val="20"/>
              </w:rPr>
              <w:t xml:space="preserve">▼ -7.7%</w:t>
            </w:r>
          </w:p>
        </w:tc>
      </w:tr>
      <w:tr>
        <w:tc>
          <w:tcPr>
            <w:tcW w:type="dxa" w:w="3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1A1A2E"/>
                <w:sz w:val="20"/>
                <w:szCs w:val="20"/>
              </w:rPr>
              <w:t xml:space="preserve">EBIT</w:t>
            </w:r>
          </w:p>
        </w:tc>
        <w:tc>
          <w:tcPr>
            <w:tcW w:type="dxa" w:w="16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1A1A2E"/>
                <w:sz w:val="20"/>
                <w:szCs w:val="20"/>
              </w:rPr>
              <w:t xml:space="preserve">USD 308,000</w:t>
            </w:r>
          </w:p>
        </w:tc>
        <w:tc>
          <w:tcPr>
            <w:tcW w:type="dxa" w:w="16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1A1A2E"/>
                <w:sz w:val="20"/>
                <w:szCs w:val="20"/>
              </w:rPr>
              <w:t xml:space="preserve">USD 154,000</w:t>
            </w:r>
          </w:p>
        </w:tc>
        <w:tc>
          <w:tcPr>
            <w:tcW w:type="dxa" w:w="20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1D7A55"/>
                <w:sz w:val="20"/>
                <w:szCs w:val="20"/>
              </w:rPr>
              <w:t xml:space="preserve">+100.0%</w:t>
            </w:r>
          </w:p>
        </w:tc>
      </w:tr>
      <w:tr>
        <w:tc>
          <w:tcPr>
            <w:tcW w:type="dxa" w:w="3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Finance Income / (Costs)</w:t>
            </w:r>
          </w:p>
        </w:tc>
        <w:tc>
          <w:tcPr>
            <w:tcW w:type="dxa" w:w="16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0,000)</w:t>
            </w:r>
          </w:p>
        </w:tc>
        <w:tc>
          <w:tcPr>
            <w:tcW w:type="dxa" w:w="16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0,000)</w:t>
            </w:r>
          </w:p>
        </w:tc>
        <w:tc>
          <w:tcPr>
            <w:tcW w:type="dxa" w:w="20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0D1B2A"/>
                <w:sz w:val="20"/>
                <w:szCs w:val="20"/>
              </w:rPr>
              <w:t xml:space="preserve">─</w:t>
            </w:r>
          </w:p>
        </w:tc>
      </w:tr>
      <w:tr>
        <w:tc>
          <w:tcPr>
            <w:tcW w:type="dxa" w:w="3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1A1A2E"/>
                <w:sz w:val="20"/>
                <w:szCs w:val="20"/>
              </w:rPr>
              <w:t xml:space="preserve">NET PROFIT (PBT)</w:t>
            </w:r>
          </w:p>
        </w:tc>
        <w:tc>
          <w:tcPr>
            <w:tcW w:type="dxa" w:w="16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1A1A2E"/>
                <w:sz w:val="20"/>
                <w:szCs w:val="20"/>
              </w:rPr>
              <w:t xml:space="preserve">USD 308,000</w:t>
            </w:r>
          </w:p>
        </w:tc>
        <w:tc>
          <w:tcPr>
            <w:tcW w:type="dxa" w:w="16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1A1A2E"/>
                <w:sz w:val="20"/>
                <w:szCs w:val="20"/>
              </w:rPr>
              <w:t xml:space="preserve">USD 154,000</w:t>
            </w:r>
          </w:p>
        </w:tc>
        <w:tc>
          <w:tcPr>
            <w:tcW w:type="dxa" w:w="20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1D7A55"/>
                <w:sz w:val="20"/>
                <w:szCs w:val="20"/>
              </w:rPr>
              <w:t xml:space="preserve">+100.0%</w:t>
            </w:r>
          </w:p>
        </w:tc>
      </w:tr>
    </w:tbl>
    <w:p>
      <w:pPr>
        <w:spacing w:after="160" w:before="0"/>
      </w:pPr>
    </w:p>
    <w:p>
      <w:pPr>
        <w:pStyle w:val="Heading1"/>
        <w:spacing w:after="140" w:before="400"/>
      </w:pPr>
      <w:r>
        <w:rPr>
          <w:rFonts w:ascii="Calibri" w:cs="Calibri" w:eastAsia="Calibri" w:hAnsi="Calibri"/>
          <w:b/>
          <w:bCs/>
          <w:color w:val="0D1B2A"/>
          <w:sz w:val="30"/>
          <w:szCs w:val="30"/>
        </w:rPr>
        <w:t xml:space="preserve">3.  Revenue Analysis</w:t>
      </w:r>
    </w:p>
    <w:p>
      <w:pPr>
        <w:pStyle w:val="Heading2"/>
        <w:spacing w:after="100" w:before="280"/>
      </w:pPr>
      <w:r>
        <w:rPr>
          <w:rFonts w:ascii="Calibri" w:cs="Calibri" w:eastAsia="Calibri" w:hAnsi="Calibri"/>
          <w:b/>
          <w:bCs/>
          <w:color w:val="1E3A5F"/>
          <w:sz w:val="24"/>
          <w:szCs w:val="24"/>
        </w:rPr>
        <w:t xml:space="preserve">3.1  Revenue by Market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1400"/>
        <w:gridCol w:w="1226"/>
      </w:tblGrid>
      <w:tr>
        <w:tc>
          <w:tcPr>
            <w:tcW w:type="dxa" w:w="22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Market</w:t>
            </w:r>
          </w:p>
        </w:tc>
        <w:tc>
          <w:tcPr>
            <w:tcW w:type="dxa" w:w="14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center"/>
            </w:pPr>
            <w:r>
              <w:rPr>
                <w:rFonts w:ascii="Calibri" w:cs="Calibri" w:eastAsia="Calibri" w:hAnsi="Calibri"/>
                <w:b/>
                <w:bCs/>
                <w:color w:val="FFFFFF"/>
                <w:sz w:val="20"/>
                <w:szCs w:val="20"/>
              </w:rPr>
              <w:t xml:space="preserve">Q1 2025</w:t>
            </w:r>
          </w:p>
        </w:tc>
        <w:tc>
          <w:tcPr>
            <w:tcW w:type="dxa" w:w="14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center"/>
            </w:pPr>
            <w:r>
              <w:rPr>
                <w:rFonts w:ascii="Calibri" w:cs="Calibri" w:eastAsia="Calibri" w:hAnsi="Calibri"/>
                <w:b/>
                <w:bCs/>
                <w:color w:val="FFFFFF"/>
                <w:sz w:val="20"/>
                <w:szCs w:val="20"/>
              </w:rPr>
              <w:t xml:space="preserve">% of Group</w:t>
            </w:r>
          </w:p>
        </w:tc>
        <w:tc>
          <w:tcPr>
            <w:tcW w:type="dxa" w:w="14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center"/>
            </w:pPr>
            <w:r>
              <w:rPr>
                <w:rFonts w:ascii="Calibri" w:cs="Calibri" w:eastAsia="Calibri" w:hAnsi="Calibri"/>
                <w:b/>
                <w:bCs/>
                <w:color w:val="FFFFFF"/>
                <w:sz w:val="20"/>
                <w:szCs w:val="20"/>
              </w:rPr>
              <w:t xml:space="preserve">Q1 2024</w:t>
            </w:r>
          </w:p>
        </w:tc>
        <w:tc>
          <w:tcPr>
            <w:tcW w:type="dxa" w:w="14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center"/>
            </w:pPr>
            <w:r>
              <w:rPr>
                <w:rFonts w:ascii="Calibri" w:cs="Calibri" w:eastAsia="Calibri" w:hAnsi="Calibri"/>
                <w:b/>
                <w:bCs/>
                <w:color w:val="FFFFFF"/>
                <w:sz w:val="20"/>
                <w:szCs w:val="20"/>
              </w:rPr>
              <w:t xml:space="preserve">YoY</w:t>
            </w:r>
          </w:p>
        </w:tc>
        <w:tc>
          <w:tcPr>
            <w:tcW w:type="dxa" w:w="1226"/>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center"/>
            </w:pPr>
            <w:r>
              <w:rPr>
                <w:rFonts w:ascii="Calibri" w:cs="Calibri" w:eastAsia="Calibri" w:hAnsi="Calibri"/>
                <w:b/>
                <w:bCs/>
                <w:color w:val="FFFFFF"/>
                <w:sz w:val="20"/>
                <w:szCs w:val="20"/>
              </w:rPr>
              <w:t xml:space="preserve">Rec. %</w:t>
            </w:r>
          </w:p>
        </w:tc>
      </w:tr>
      <w:tr>
        <w:tc>
          <w:tcPr>
            <w:tcW w:type="dxa" w:w="220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Kenya</w:t>
            </w:r>
          </w:p>
        </w:tc>
        <w:tc>
          <w:tcPr>
            <w:tcW w:type="dxa" w:w="140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center"/>
            </w:pPr>
            <w:r>
              <w:rPr>
                <w:rFonts w:ascii="Calibri" w:cs="Calibri" w:eastAsia="Calibri" w:hAnsi="Calibri"/>
                <w:b/>
                <w:bCs/>
                <w:color w:val="1A1A2E"/>
                <w:sz w:val="20"/>
                <w:szCs w:val="20"/>
              </w:rPr>
              <w:t xml:space="preserve">USD 1.42M</w:t>
            </w:r>
          </w:p>
        </w:tc>
        <w:tc>
          <w:tcPr>
            <w:tcW w:type="dxa" w:w="140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66.4%</w:t>
            </w:r>
          </w:p>
        </w:tc>
        <w:tc>
          <w:tcPr>
            <w:tcW w:type="dxa" w:w="140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1.10M</w:t>
            </w:r>
          </w:p>
        </w:tc>
        <w:tc>
          <w:tcPr>
            <w:tcW w:type="dxa" w:w="140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center"/>
            </w:pPr>
            <w:r>
              <w:rPr>
                <w:rFonts w:ascii="Calibri" w:cs="Calibri" w:eastAsia="Calibri" w:hAnsi="Calibri"/>
                <w:b/>
                <w:bCs/>
                <w:color w:val="1D7A55"/>
                <w:sz w:val="20"/>
                <w:szCs w:val="20"/>
              </w:rPr>
              <w:t xml:space="preserve">▲ +28.7%</w:t>
            </w:r>
          </w:p>
        </w:tc>
        <w:tc>
          <w:tcPr>
            <w:tcW w:type="dxa" w:w="1226"/>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42%</w:t>
            </w:r>
          </w:p>
        </w:tc>
      </w:tr>
      <w:tr>
        <w:tc>
          <w:tcPr>
            <w:tcW w:type="dxa" w:w="22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South Africa</w:t>
            </w:r>
          </w:p>
        </w:tc>
        <w:tc>
          <w:tcPr>
            <w:tcW w:type="dxa" w:w="14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1A1A2E"/>
                <w:sz w:val="20"/>
                <w:szCs w:val="20"/>
              </w:rPr>
              <w:t xml:space="preserve">USD 0.72M</w:t>
            </w:r>
          </w:p>
        </w:tc>
        <w:tc>
          <w:tcPr>
            <w:tcW w:type="dxa" w:w="14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33.6%</w:t>
            </w:r>
          </w:p>
        </w:tc>
        <w:tc>
          <w:tcPr>
            <w:tcW w:type="dxa" w:w="14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0.49M</w:t>
            </w:r>
          </w:p>
        </w:tc>
        <w:tc>
          <w:tcPr>
            <w:tcW w:type="dxa" w:w="14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1D7A55"/>
                <w:sz w:val="20"/>
                <w:szCs w:val="20"/>
              </w:rPr>
              <w:t xml:space="preserve">▲ +49.2%</w:t>
            </w:r>
          </w:p>
        </w:tc>
        <w:tc>
          <w:tcPr>
            <w:tcW w:type="dxa" w:w="12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67%</w:t>
            </w:r>
          </w:p>
        </w:tc>
      </w:tr>
      <w:tr>
        <w:tc>
          <w:tcPr>
            <w:tcW w:type="dxa" w:w="220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bCs/>
                <w:color w:val="1A1A2E"/>
                <w:sz w:val="20"/>
                <w:szCs w:val="20"/>
              </w:rPr>
              <w:t xml:space="preserve">GROUP TOTAL</w:t>
            </w:r>
          </w:p>
        </w:tc>
        <w:tc>
          <w:tcPr>
            <w:tcW w:type="dxa" w:w="140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USD 2.14M</w:t>
            </w:r>
          </w:p>
        </w:tc>
        <w:tc>
          <w:tcPr>
            <w:tcW w:type="dxa" w:w="140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center"/>
            </w:pPr>
            <w:r>
              <w:rPr>
                <w:rFonts w:ascii="Calibri" w:cs="Calibri" w:eastAsia="Calibri" w:hAnsi="Calibri"/>
                <w:b/>
                <w:bCs/>
                <w:color w:val="1A1A2E"/>
                <w:sz w:val="20"/>
                <w:szCs w:val="20"/>
              </w:rPr>
              <w:t xml:space="preserve">100%</w:t>
            </w:r>
          </w:p>
        </w:tc>
        <w:tc>
          <w:tcPr>
            <w:tcW w:type="dxa" w:w="140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center"/>
            </w:pPr>
            <w:r>
              <w:rPr>
                <w:rFonts w:ascii="Calibri" w:cs="Calibri" w:eastAsia="Calibri" w:hAnsi="Calibri"/>
                <w:b/>
                <w:bCs/>
                <w:color w:val="1A1A2E"/>
                <w:sz w:val="20"/>
                <w:szCs w:val="20"/>
              </w:rPr>
              <w:t xml:space="preserve">USD 1.59M</w:t>
            </w:r>
          </w:p>
        </w:tc>
        <w:tc>
          <w:tcPr>
            <w:tcW w:type="dxa" w:w="140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center"/>
            </w:pPr>
            <w:r>
              <w:rPr>
                <w:rFonts w:ascii="Calibri" w:cs="Calibri" w:eastAsia="Calibri" w:hAnsi="Calibri"/>
                <w:b/>
                <w:bCs/>
                <w:color w:val="1D7A55"/>
                <w:sz w:val="20"/>
                <w:szCs w:val="20"/>
              </w:rPr>
              <w:t xml:space="preserve">▲ +34.6%</w:t>
            </w:r>
          </w:p>
        </w:tc>
        <w:tc>
          <w:tcPr>
            <w:tcW w:type="dxa" w:w="1226"/>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center"/>
            </w:pPr>
            <w:r>
              <w:rPr>
                <w:rFonts w:ascii="Calibri" w:cs="Calibri" w:eastAsia="Calibri" w:hAnsi="Calibri"/>
                <w:b/>
                <w:bCs/>
                <w:color w:val="1A1A2E"/>
                <w:sz w:val="20"/>
                <w:szCs w:val="20"/>
              </w:rPr>
              <w:t xml:space="preserve">52%</w:t>
            </w:r>
          </w:p>
        </w:tc>
      </w:tr>
    </w:tbl>
    <w:p>
      <w:pPr>
        <w:spacing w:after="120" w:before="0"/>
      </w:pPr>
    </w:p>
    <w:p>
      <w:pPr>
        <w:pStyle w:val="Heading2"/>
        <w:spacing w:after="100" w:before="280"/>
      </w:pPr>
      <w:r>
        <w:rPr>
          <w:rFonts w:ascii="Calibri" w:cs="Calibri" w:eastAsia="Calibri" w:hAnsi="Calibri"/>
          <w:b/>
          <w:bCs/>
          <w:color w:val="1E3A5F"/>
          <w:sz w:val="24"/>
          <w:szCs w:val="24"/>
        </w:rPr>
        <w:t xml:space="preserve">3.2  ARR Bridge — Q4 2024 to Q1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226"/>
      </w:tblGrid>
      <w:tr>
        <w:tc>
          <w:tcPr>
            <w:tcW w:type="dxa" w:w="32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Movement</w:t>
            </w:r>
          </w:p>
        </w:tc>
        <w:tc>
          <w:tcPr>
            <w:tcW w:type="dxa" w:w="16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center"/>
            </w:pPr>
            <w:r>
              <w:rPr>
                <w:rFonts w:ascii="Calibri" w:cs="Calibri" w:eastAsia="Calibri" w:hAnsi="Calibri"/>
                <w:b/>
                <w:bCs/>
                <w:color w:val="FFFFFF"/>
                <w:sz w:val="20"/>
                <w:szCs w:val="20"/>
              </w:rPr>
              <w:t xml:space="preserve">USD Value</w:t>
            </w:r>
          </w:p>
        </w:tc>
        <w:tc>
          <w:tcPr>
            <w:tcW w:type="dxa" w:w="4226"/>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Commentary</w:t>
            </w:r>
          </w:p>
        </w:tc>
      </w:tr>
      <w:tr>
        <w:tc>
          <w:tcPr>
            <w:tcW w:type="dxa" w:w="32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bCs/>
                <w:color w:val="1A1A2E"/>
                <w:sz w:val="20"/>
                <w:szCs w:val="20"/>
              </w:rPr>
              <w:t xml:space="preserve">Opening ARR (Q4 2024 close)</w:t>
            </w:r>
          </w:p>
        </w:tc>
        <w:tc>
          <w:tcPr>
            <w:tcW w:type="dxa" w:w="16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USD 4.20M</w:t>
            </w:r>
          </w:p>
        </w:tc>
        <w:tc>
          <w:tcPr>
            <w:tcW w:type="dxa" w:w="42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
            </w:r>
          </w:p>
        </w:tc>
      </w:tr>
      <w:tr>
        <w:tc>
          <w:tcPr>
            <w:tcW w:type="dxa" w:w="32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New Logos (3 enterprise clients)</w:t>
            </w:r>
          </w:p>
        </w:tc>
        <w:tc>
          <w:tcPr>
            <w:tcW w:type="dxa" w:w="16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D7A55"/>
                <w:sz w:val="20"/>
                <w:szCs w:val="20"/>
              </w:rPr>
              <w:t xml:space="preserve">+USD 0.42M</w:t>
            </w:r>
          </w:p>
        </w:tc>
        <w:tc>
          <w:tcPr>
            <w:tcW w:type="dxa" w:w="42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Absa Bank, Old Mutual, Digital Lender SA</w:t>
            </w:r>
          </w:p>
        </w:tc>
      </w:tr>
      <w:tr>
        <w:tc>
          <w:tcPr>
            <w:tcW w:type="dxa" w:w="32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Expansion (Upsell / Cross-sell)</w:t>
            </w:r>
          </w:p>
        </w:tc>
        <w:tc>
          <w:tcPr>
            <w:tcW w:type="dxa" w:w="16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D7A55"/>
                <w:sz w:val="20"/>
                <w:szCs w:val="20"/>
              </w:rPr>
              <w:t xml:space="preserve">+USD 0.26M</w:t>
            </w:r>
          </w:p>
        </w:tc>
        <w:tc>
          <w:tcPr>
            <w:tcW w:type="dxa" w:w="42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KCB Group fraud detection expansion</w:t>
            </w:r>
          </w:p>
        </w:tc>
      </w:tr>
      <w:tr>
        <w:tc>
          <w:tcPr>
            <w:tcW w:type="dxa" w:w="32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Downsell / Compression</w:t>
            </w:r>
          </w:p>
        </w:tc>
        <w:tc>
          <w:tcPr>
            <w:tcW w:type="dxa" w:w="16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D4891A"/>
                <w:sz w:val="20"/>
                <w:szCs w:val="20"/>
              </w:rPr>
              <w:t xml:space="preserve">(USD 0.08M)</w:t>
            </w:r>
          </w:p>
        </w:tc>
        <w:tc>
          <w:tcPr>
            <w:tcW w:type="dxa" w:w="42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One client reduced licence tier</w:t>
            </w:r>
          </w:p>
        </w:tc>
      </w:tr>
      <w:tr>
        <w:tc>
          <w:tcPr>
            <w:tcW w:type="dxa" w:w="32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Churn</w:t>
            </w:r>
          </w:p>
        </w:tc>
        <w:tc>
          <w:tcPr>
            <w:tcW w:type="dxa" w:w="16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0D1B2A"/>
                <w:sz w:val="20"/>
                <w:szCs w:val="20"/>
              </w:rPr>
              <w:t xml:space="preserve">USD 0.00M</w:t>
            </w:r>
          </w:p>
        </w:tc>
        <w:tc>
          <w:tcPr>
            <w:tcW w:type="dxa" w:w="42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No churn in Q1 2025</w:t>
            </w:r>
          </w:p>
        </w:tc>
      </w:tr>
      <w:tr>
        <w:tc>
          <w:tcPr>
            <w:tcW w:type="dxa" w:w="32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1A1A2E"/>
                <w:sz w:val="20"/>
                <w:szCs w:val="20"/>
              </w:rPr>
              <w:t xml:space="preserve">Closing ARR (Q1 2025)</w:t>
            </w:r>
          </w:p>
        </w:tc>
        <w:tc>
          <w:tcPr>
            <w:tcW w:type="dxa" w:w="16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USD 4.80M</w:t>
            </w:r>
          </w:p>
        </w:tc>
        <w:tc>
          <w:tcPr>
            <w:tcW w:type="dxa" w:w="42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
            </w:r>
          </w:p>
        </w:tc>
      </w:tr>
    </w:tbl>
    <w:p>
      <w:pPr>
        <w:spacing w:after="160" w:before="0"/>
      </w:pPr>
    </w:p>
    <w:p>
      <w:pPr>
        <w:pStyle w:val="Heading1"/>
        <w:spacing w:after="140" w:before="400"/>
      </w:pPr>
      <w:r>
        <w:rPr>
          <w:rFonts w:ascii="Calibri" w:cs="Calibri" w:eastAsia="Calibri" w:hAnsi="Calibri"/>
          <w:b/>
          <w:bCs/>
          <w:color w:val="0D1B2A"/>
          <w:sz w:val="30"/>
          <w:szCs w:val="30"/>
        </w:rPr>
        <w:t xml:space="preserve">4.  Cash Flow &amp; Balance Sheet</w:t>
      </w:r>
    </w:p>
    <w:p>
      <w:pPr>
        <w:pStyle w:val="Heading2"/>
        <w:spacing w:after="100" w:before="280"/>
      </w:pPr>
      <w:r>
        <w:rPr>
          <w:rFonts w:ascii="Calibri" w:cs="Calibri" w:eastAsia="Calibri" w:hAnsi="Calibri"/>
          <w:b/>
          <w:bCs/>
          <w:color w:val="1E3A5F"/>
          <w:sz w:val="24"/>
          <w:szCs w:val="24"/>
        </w:rPr>
        <w:t xml:space="preserve">4.1  Cash Flow Summary — Q1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800"/>
        <w:gridCol w:w="1926"/>
      </w:tblGrid>
      <w:tr>
        <w:tc>
          <w:tcPr>
            <w:tcW w:type="dxa" w:w="35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Metric</w:t>
            </w:r>
          </w:p>
        </w:tc>
        <w:tc>
          <w:tcPr>
            <w:tcW w:type="dxa" w:w="18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Q1 2025 Actual</w:t>
            </w:r>
          </w:p>
        </w:tc>
        <w:tc>
          <w:tcPr>
            <w:tcW w:type="dxa" w:w="18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Target / Budget</w:t>
            </w:r>
          </w:p>
        </w:tc>
        <w:tc>
          <w:tcPr>
            <w:tcW w:type="dxa" w:w="1926"/>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Status</w:t>
            </w:r>
          </w:p>
        </w:tc>
      </w:tr>
      <w:tr>
        <w:tc>
          <w:tcPr>
            <w:tcW w:type="dxa" w:w="35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Net Cash from Operations</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USD 0.44M</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0.28M target</w:t>
            </w:r>
          </w:p>
        </w:tc>
        <w:tc>
          <w:tcPr>
            <w:tcW w:type="dxa" w:w="19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D4891A"/>
                <w:sz w:val="20"/>
                <w:szCs w:val="20"/>
              </w:rPr>
              <w:t xml:space="preserve">▲ Above</w:t>
            </w:r>
          </w:p>
        </w:tc>
      </w:tr>
      <w:tr>
        <w:tc>
          <w:tcPr>
            <w:tcW w:type="dxa" w:w="35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Capital Expenditure (Tech Infrastructure)</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(USD 0.12M)</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0.15M) budget</w:t>
            </w:r>
          </w:p>
        </w:tc>
        <w:tc>
          <w:tcPr>
            <w:tcW w:type="dxa" w:w="19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D4891A"/>
                <w:sz w:val="20"/>
                <w:szCs w:val="20"/>
              </w:rPr>
              <w:t xml:space="preserve">▲ Underspend</w:t>
            </w:r>
          </w:p>
        </w:tc>
      </w:tr>
      <w:tr>
        <w:tc>
          <w:tcPr>
            <w:tcW w:type="dxa" w:w="35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Net Cash from Investing</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(USD 0.12M)</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0.15M)</w:t>
            </w:r>
          </w:p>
        </w:tc>
        <w:tc>
          <w:tcPr>
            <w:tcW w:type="dxa" w:w="19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D4891A"/>
                <w:sz w:val="20"/>
                <w:szCs w:val="20"/>
              </w:rPr>
              <w:t xml:space="preserve">▲ Favourable</w:t>
            </w:r>
          </w:p>
        </w:tc>
      </w:tr>
      <w:tr>
        <w:tc>
          <w:tcPr>
            <w:tcW w:type="dxa" w:w="35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Net Cash from Financing</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(USD 0.06M)</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Loan repayment</w:t>
            </w:r>
          </w:p>
        </w:tc>
        <w:tc>
          <w:tcPr>
            <w:tcW w:type="dxa" w:w="19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D4891A"/>
                <w:sz w:val="20"/>
                <w:szCs w:val="20"/>
              </w:rPr>
              <w:t xml:space="preserve">Scheduled</w:t>
            </w:r>
          </w:p>
        </w:tc>
      </w:tr>
      <w:tr>
        <w:tc>
          <w:tcPr>
            <w:tcW w:type="dxa" w:w="35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Net Change in Cash</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USD 0.26M</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&gt; USD 0M</w:t>
            </w:r>
          </w:p>
        </w:tc>
        <w:tc>
          <w:tcPr>
            <w:tcW w:type="dxa" w:w="19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1D7A55"/>
                <w:sz w:val="20"/>
                <w:szCs w:val="20"/>
              </w:rPr>
              <w:t xml:space="preserve">Green</w:t>
            </w:r>
          </w:p>
        </w:tc>
      </w:tr>
      <w:tr>
        <w:tc>
          <w:tcPr>
            <w:tcW w:type="dxa" w:w="35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Closing Cash Balance</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USD 1.84M</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 USD 1.0M minimum</w:t>
            </w:r>
          </w:p>
        </w:tc>
        <w:tc>
          <w:tcPr>
            <w:tcW w:type="dxa" w:w="19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1D7A55"/>
                <w:sz w:val="20"/>
                <w:szCs w:val="20"/>
              </w:rPr>
              <w:t xml:space="preserve">Green</w:t>
            </w:r>
          </w:p>
        </w:tc>
      </w:tr>
    </w:tbl>
    <w:p>
      <w:pPr>
        <w:spacing w:after="120" w:before="0"/>
      </w:pPr>
    </w:p>
    <w:p>
      <w:pPr>
        <w:pStyle w:val="Heading2"/>
        <w:spacing w:after="100" w:before="280"/>
      </w:pPr>
      <w:r>
        <w:rPr>
          <w:rFonts w:ascii="Calibri" w:cs="Calibri" w:eastAsia="Calibri" w:hAnsi="Calibri"/>
          <w:b/>
          <w:bCs/>
          <w:color w:val="1E3A5F"/>
          <w:sz w:val="24"/>
          <w:szCs w:val="24"/>
        </w:rPr>
        <w:t xml:space="preserve">4.2  Key Balance Sheet Indicators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800"/>
        <w:gridCol w:w="1926"/>
      </w:tblGrid>
      <w:tr>
        <w:tc>
          <w:tcPr>
            <w:tcW w:type="dxa" w:w="35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Metric</w:t>
            </w:r>
          </w:p>
        </w:tc>
        <w:tc>
          <w:tcPr>
            <w:tcW w:type="dxa" w:w="18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Q1 2025 Actual</w:t>
            </w:r>
          </w:p>
        </w:tc>
        <w:tc>
          <w:tcPr>
            <w:tcW w:type="dxa" w:w="18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Target / Covenant</w:t>
            </w:r>
          </w:p>
        </w:tc>
        <w:tc>
          <w:tcPr>
            <w:tcW w:type="dxa" w:w="1926"/>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Status</w:t>
            </w:r>
          </w:p>
        </w:tc>
      </w:tr>
      <w:tr>
        <w:tc>
          <w:tcPr>
            <w:tcW w:type="dxa" w:w="35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Cash &amp; Cash Equivalents</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USD 1.84M</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 USD 1.0M minimum</w:t>
            </w:r>
          </w:p>
        </w:tc>
        <w:tc>
          <w:tcPr>
            <w:tcW w:type="dxa" w:w="19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1D7A55"/>
                <w:sz w:val="20"/>
                <w:szCs w:val="20"/>
              </w:rPr>
              <w:t xml:space="preserve">Green</w:t>
            </w:r>
          </w:p>
        </w:tc>
      </w:tr>
      <w:tr>
        <w:tc>
          <w:tcPr>
            <w:tcW w:type="dxa" w:w="35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Accounts Receivable</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USD 0.64M</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&lt; 45 days DSO</w:t>
            </w:r>
          </w:p>
        </w:tc>
        <w:tc>
          <w:tcPr>
            <w:tcW w:type="dxa" w:w="19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1D7A55"/>
                <w:sz w:val="20"/>
                <w:szCs w:val="20"/>
              </w:rPr>
              <w:t xml:space="preserve">On Track</w:t>
            </w:r>
          </w:p>
        </w:tc>
      </w:tr>
      <w:tr>
        <w:tc>
          <w:tcPr>
            <w:tcW w:type="dxa" w:w="35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Accounts Receivable (Overdue &gt; 60 days)</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USD 0.08M</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&lt; USD 0.10M</w:t>
            </w:r>
          </w:p>
        </w:tc>
        <w:tc>
          <w:tcPr>
            <w:tcW w:type="dxa" w:w="19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1D7A55"/>
                <w:sz w:val="20"/>
                <w:szCs w:val="20"/>
              </w:rPr>
              <w:t xml:space="preserve">Green</w:t>
            </w:r>
          </w:p>
        </w:tc>
      </w:tr>
      <w:tr>
        <w:tc>
          <w:tcPr>
            <w:tcW w:type="dxa" w:w="35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Total Debt (Term Loan — Stanbic Kenya)</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USD 0.82M</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Within covenant</w:t>
            </w:r>
          </w:p>
        </w:tc>
        <w:tc>
          <w:tcPr>
            <w:tcW w:type="dxa" w:w="19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1D7A55"/>
                <w:sz w:val="20"/>
                <w:szCs w:val="20"/>
              </w:rPr>
              <w:t xml:space="preserve">Green</w:t>
            </w:r>
          </w:p>
        </w:tc>
      </w:tr>
      <w:tr>
        <w:tc>
          <w:tcPr>
            <w:tcW w:type="dxa" w:w="35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Net Debt</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(USD 1.02M) net cash</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Net cash positive</w:t>
            </w:r>
          </w:p>
        </w:tc>
        <w:tc>
          <w:tcPr>
            <w:tcW w:type="dxa" w:w="19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1D7A55"/>
                <w:sz w:val="20"/>
                <w:szCs w:val="20"/>
              </w:rPr>
              <w:t xml:space="preserve">Green</w:t>
            </w:r>
          </w:p>
        </w:tc>
      </w:tr>
      <w:tr>
        <w:tc>
          <w:tcPr>
            <w:tcW w:type="dxa" w:w="35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Monthly Burn Rate (OpEx ex-COGS)</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USD 0.26M</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&lt; USD 0.30M</w:t>
            </w:r>
          </w:p>
        </w:tc>
        <w:tc>
          <w:tcPr>
            <w:tcW w:type="dxa" w:w="19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1D7A55"/>
                <w:sz w:val="20"/>
                <w:szCs w:val="20"/>
              </w:rPr>
              <w:t xml:space="preserve">Green</w:t>
            </w:r>
          </w:p>
        </w:tc>
      </w:tr>
      <w:tr>
        <w:tc>
          <w:tcPr>
            <w:tcW w:type="dxa" w:w="35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Runway (at current burn)</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7.1 months</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 6 months</w:t>
            </w:r>
          </w:p>
        </w:tc>
        <w:tc>
          <w:tcPr>
            <w:tcW w:type="dxa" w:w="19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1D7A55"/>
                <w:sz w:val="20"/>
                <w:szCs w:val="20"/>
              </w:rPr>
              <w:t xml:space="preserve">Green</w:t>
            </w:r>
          </w:p>
        </w:tc>
      </w:tr>
    </w:tbl>
    <w:p>
      <w:pPr>
        <w:spacing w:after="80" w:before="0"/>
      </w:pPr>
    </w:p>
    <w:p>
      <w:pPr>
        <w:spacing w:after="120" w:before="80"/>
        <w:jc w:val="both"/>
      </w:pPr>
      <w:r>
        <w:rPr>
          <w:rFonts w:ascii="Calibri" w:cs="Calibri" w:eastAsia="Calibri" w:hAnsi="Calibri"/>
          <w:b w:val="false"/>
          <w:bCs w:val="false"/>
          <w:color w:val="7B8FA6"/>
          <w:sz w:val="22"/>
          <w:szCs w:val="22"/>
        </w:rPr>
        <w:t xml:space="preserve">Note: With current profitability and cash generation, the board should note that the 'runway' metric is a legacy measure from the company's pre-profitability period. Management recommends retiring this metric and replacing it with EBITDA-to-cash conversion as the primary liquidity indicator from Q2 2025.</w:t>
      </w:r>
    </w:p>
    <w:p>
      <w:pPr>
        <w:spacing w:after="160" w:before="0"/>
      </w:pPr>
    </w:p>
    <w:p>
      <w:pPr>
        <w:pStyle w:val="Heading1"/>
        <w:spacing w:after="140" w:before="400"/>
      </w:pPr>
      <w:r>
        <w:rPr>
          <w:rFonts w:ascii="Calibri" w:cs="Calibri" w:eastAsia="Calibri" w:hAnsi="Calibri"/>
          <w:b/>
          <w:bCs/>
          <w:color w:val="0D1B2A"/>
          <w:sz w:val="30"/>
          <w:szCs w:val="30"/>
        </w:rPr>
        <w:t xml:space="preserve">5.  FX &amp; Currency Risk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2426"/>
      </w:tblGrid>
      <w:tr>
        <w:tc>
          <w:tcPr>
            <w:tcW w:type="dxa" w:w="24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Currency Pair</w:t>
            </w:r>
          </w:p>
        </w:tc>
        <w:tc>
          <w:tcPr>
            <w:tcW w:type="dxa" w:w="14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center"/>
            </w:pPr>
            <w:r>
              <w:rPr>
                <w:rFonts w:ascii="Calibri" w:cs="Calibri" w:eastAsia="Calibri" w:hAnsi="Calibri"/>
                <w:b/>
                <w:bCs/>
                <w:color w:val="FFFFFF"/>
                <w:sz w:val="20"/>
                <w:szCs w:val="20"/>
              </w:rPr>
              <w:t xml:space="preserve">Q1 2025 Avg</w:t>
            </w:r>
          </w:p>
        </w:tc>
        <w:tc>
          <w:tcPr>
            <w:tcW w:type="dxa" w:w="14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center"/>
            </w:pPr>
            <w:r>
              <w:rPr>
                <w:rFonts w:ascii="Calibri" w:cs="Calibri" w:eastAsia="Calibri" w:hAnsi="Calibri"/>
                <w:b/>
                <w:bCs/>
                <w:color w:val="FFFFFF"/>
                <w:sz w:val="20"/>
                <w:szCs w:val="20"/>
              </w:rPr>
              <w:t xml:space="preserve">Q1 2024 Avg</w:t>
            </w:r>
          </w:p>
        </w:tc>
        <w:tc>
          <w:tcPr>
            <w:tcW w:type="dxa" w:w="14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center"/>
            </w:pPr>
            <w:r>
              <w:rPr>
                <w:rFonts w:ascii="Calibri" w:cs="Calibri" w:eastAsia="Calibri" w:hAnsi="Calibri"/>
                <w:b/>
                <w:bCs/>
                <w:color w:val="FFFFFF"/>
                <w:sz w:val="20"/>
                <w:szCs w:val="20"/>
              </w:rPr>
              <w:t xml:space="preserve">Movement</w:t>
            </w:r>
          </w:p>
        </w:tc>
        <w:tc>
          <w:tcPr>
            <w:tcW w:type="dxa" w:w="2426"/>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Impact on USD Revenue</w:t>
            </w:r>
          </w:p>
        </w:tc>
      </w:tr>
      <w:tr>
        <w:tc>
          <w:tcPr>
            <w:tcW w:type="dxa" w:w="240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KES / USD</w:t>
            </w:r>
          </w:p>
        </w:tc>
        <w:tc>
          <w:tcPr>
            <w:tcW w:type="dxa" w:w="140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131.4</w:t>
            </w:r>
          </w:p>
        </w:tc>
        <w:tc>
          <w:tcPr>
            <w:tcW w:type="dxa" w:w="140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123.7</w:t>
            </w:r>
          </w:p>
        </w:tc>
        <w:tc>
          <w:tcPr>
            <w:tcW w:type="dxa" w:w="140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center"/>
            </w:pPr>
            <w:r>
              <w:rPr>
                <w:rFonts w:ascii="Calibri" w:cs="Calibri" w:eastAsia="Calibri" w:hAnsi="Calibri"/>
                <w:b w:val="false"/>
                <w:bCs w:val="false"/>
                <w:color w:val="D4891A"/>
                <w:sz w:val="20"/>
                <w:szCs w:val="20"/>
              </w:rPr>
              <w:t xml:space="preserve">KES -6.2%</w:t>
            </w:r>
          </w:p>
        </w:tc>
        <w:tc>
          <w:tcPr>
            <w:tcW w:type="dxa" w:w="2426"/>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Negative for KES-denominated costs; positive as USD-billed revenue is unchanged</w:t>
            </w:r>
          </w:p>
        </w:tc>
      </w:tr>
      <w:tr>
        <w:tc>
          <w:tcPr>
            <w:tcW w:type="dxa" w:w="24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ZAR / USD</w:t>
            </w:r>
          </w:p>
        </w:tc>
        <w:tc>
          <w:tcPr>
            <w:tcW w:type="dxa" w:w="14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18.6</w:t>
            </w:r>
          </w:p>
        </w:tc>
        <w:tc>
          <w:tcPr>
            <w:tcW w:type="dxa" w:w="14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19.1</w:t>
            </w:r>
          </w:p>
        </w:tc>
        <w:tc>
          <w:tcPr>
            <w:tcW w:type="dxa" w:w="14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D7A55"/>
                <w:sz w:val="20"/>
                <w:szCs w:val="20"/>
              </w:rPr>
              <w:t xml:space="preserve">ZAR +2.7%</w:t>
            </w:r>
          </w:p>
        </w:tc>
        <w:tc>
          <w:tcPr>
            <w:tcW w:type="dxa" w:w="24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Slight positive — ZAR-denominated client fees translate at slightly better rate</w:t>
            </w:r>
          </w:p>
        </w:tc>
      </w:tr>
    </w:tbl>
    <w:p>
      <w:pPr>
        <w:spacing w:after="80" w:before="0"/>
      </w:pPr>
    </w:p>
    <w:p>
      <w:pPr>
        <w:spacing w:after="120" w:before="80"/>
        <w:jc w:val="both"/>
      </w:pPr>
      <w:r>
        <w:rPr>
          <w:rFonts w:ascii="Calibri" w:cs="Calibri" w:eastAsia="Calibri" w:hAnsi="Calibri"/>
          <w:b w:val="false"/>
          <w:bCs w:val="false"/>
          <w:color w:val="7B8FA6"/>
          <w:sz w:val="22"/>
          <w:szCs w:val="22"/>
        </w:rPr>
        <w:t xml:space="preserve">Lemasy's natural FX hedge is favourable: we bill most clients in USD (78% of revenue), while 62% of our costs are in KES. KES depreciation therefore improves our USD-reported cost structure while leaving revenue unchanged — a net positive. The CFO recommends no currency hedging instruments at this stage given the natural hedge.</w:t>
      </w:r>
    </w:p>
    <w:p>
      <w:pPr>
        <w:spacing w:after="160" w:before="0"/>
      </w:pPr>
    </w:p>
    <w:p>
      <w:pPr>
        <w:pStyle w:val="Heading1"/>
        <w:spacing w:after="140" w:before="400"/>
      </w:pPr>
      <w:r>
        <w:rPr>
          <w:rFonts w:ascii="Calibri" w:cs="Calibri" w:eastAsia="Calibri" w:hAnsi="Calibri"/>
          <w:b/>
          <w:bCs/>
          <w:color w:val="0D1B2A"/>
          <w:sz w:val="30"/>
          <w:szCs w:val="30"/>
        </w:rPr>
        <w:t xml:space="preserve">6.  Q2 2025 Financial Guidance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800"/>
        <w:gridCol w:w="1926"/>
      </w:tblGrid>
      <w:tr>
        <w:tc>
          <w:tcPr>
            <w:tcW w:type="dxa" w:w="35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Metric</w:t>
            </w:r>
          </w:p>
        </w:tc>
        <w:tc>
          <w:tcPr>
            <w:tcW w:type="dxa" w:w="18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Q2 2025 Guidance</w:t>
            </w:r>
          </w:p>
        </w:tc>
        <w:tc>
          <w:tcPr>
            <w:tcW w:type="dxa" w:w="18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Reference Point</w:t>
            </w:r>
          </w:p>
        </w:tc>
        <w:tc>
          <w:tcPr>
            <w:tcW w:type="dxa" w:w="1926"/>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Trend</w:t>
            </w:r>
          </w:p>
        </w:tc>
      </w:tr>
      <w:tr>
        <w:tc>
          <w:tcPr>
            <w:tcW w:type="dxa" w:w="35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Total Revenue Guidance</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USD 2.35–2.55M</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Q1 actual USD 2.14M</w:t>
            </w:r>
          </w:p>
        </w:tc>
        <w:tc>
          <w:tcPr>
            <w:tcW w:type="dxa" w:w="19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D4891A"/>
                <w:sz w:val="20"/>
                <w:szCs w:val="20"/>
              </w:rPr>
              <w:t xml:space="preserve">▲ Above Q1</w:t>
            </w:r>
          </w:p>
        </w:tc>
      </w:tr>
      <w:tr>
        <w:tc>
          <w:tcPr>
            <w:tcW w:type="dxa" w:w="35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Recurring Revenue Target</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 55% of total</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52% in Q1</w:t>
            </w:r>
          </w:p>
        </w:tc>
        <w:tc>
          <w:tcPr>
            <w:tcW w:type="dxa" w:w="19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D4891A"/>
                <w:sz w:val="20"/>
                <w:szCs w:val="20"/>
              </w:rPr>
              <w:t xml:space="preserve">Growing</w:t>
            </w:r>
          </w:p>
        </w:tc>
      </w:tr>
      <w:tr>
        <w:tc>
          <w:tcPr>
            <w:tcW w:type="dxa" w:w="35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Gross Margin Target</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 64%</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64.2% in Q1</w:t>
            </w:r>
          </w:p>
        </w:tc>
        <w:tc>
          <w:tcPr>
            <w:tcW w:type="dxa" w:w="19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1D7A55"/>
                <w:sz w:val="20"/>
                <w:szCs w:val="20"/>
              </w:rPr>
              <w:t xml:space="preserve">On Track</w:t>
            </w:r>
          </w:p>
        </w:tc>
      </w:tr>
      <w:tr>
        <w:tc>
          <w:tcPr>
            <w:tcW w:type="dxa" w:w="35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EBITDA Guidance</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USD 0.40–0.50M</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0.38M Q1</w:t>
            </w:r>
          </w:p>
        </w:tc>
        <w:tc>
          <w:tcPr>
            <w:tcW w:type="dxa" w:w="19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D4891A"/>
                <w:sz w:val="20"/>
                <w:szCs w:val="20"/>
              </w:rPr>
              <w:t xml:space="preserve">▲ Growing</w:t>
            </w:r>
          </w:p>
        </w:tc>
      </w:tr>
      <w:tr>
        <w:tc>
          <w:tcPr>
            <w:tcW w:type="dxa" w:w="35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EBITDA Margin Target</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17–20%</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17.8% Q1</w:t>
            </w:r>
          </w:p>
        </w:tc>
        <w:tc>
          <w:tcPr>
            <w:tcW w:type="dxa" w:w="19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1D7A55"/>
                <w:sz w:val="20"/>
                <w:szCs w:val="20"/>
              </w:rPr>
              <w:t xml:space="preserve">On Track</w:t>
            </w:r>
          </w:p>
        </w:tc>
      </w:tr>
      <w:tr>
        <w:tc>
          <w:tcPr>
            <w:tcW w:type="dxa" w:w="35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ARR Target (end Q2)</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USD 5.5M</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4.80M now</w:t>
            </w:r>
          </w:p>
        </w:tc>
        <w:tc>
          <w:tcPr>
            <w:tcW w:type="dxa" w:w="19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D4891A"/>
                <w:sz w:val="20"/>
                <w:szCs w:val="20"/>
              </w:rPr>
              <w:t xml:space="preserve">▲ Growing</w:t>
            </w:r>
          </w:p>
        </w:tc>
      </w:tr>
      <w:tr>
        <w:tc>
          <w:tcPr>
            <w:tcW w:type="dxa" w:w="35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New Logo Target</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2–3 enterprise</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3 in Q1</w:t>
            </w:r>
          </w:p>
        </w:tc>
        <w:tc>
          <w:tcPr>
            <w:tcW w:type="dxa" w:w="19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1D7A55"/>
                <w:sz w:val="20"/>
                <w:szCs w:val="20"/>
              </w:rPr>
              <w:t xml:space="preserve">On Track</w:t>
            </w:r>
          </w:p>
        </w:tc>
      </w:tr>
    </w:tbl>
    <w:p>
      <w:pPr>
        <w:spacing w:after="80" w:before="0"/>
      </w:pPr>
    </w:p>
    <w:p>
      <w:pPr>
        <w:spacing w:after="120" w:before="80"/>
        <w:jc w:val="both"/>
      </w:pPr>
      <w:r>
        <w:rPr>
          <w:rFonts w:ascii="Calibri" w:cs="Calibri" w:eastAsia="Calibri" w:hAnsi="Calibri"/>
          <w:b w:val="false"/>
          <w:bCs w:val="false"/>
          <w:color w:val="7B8FA6"/>
          <w:sz w:val="22"/>
          <w:szCs w:val="22"/>
        </w:rPr>
        <w:t xml:space="preserve">The Q2 revenue range assumes: (i) FirstRand engagement results in at minimum a pilot project (USD 0.18M); (ii) Stanbic Bank Kenya contract signed (USD 0.48M project); and (iii) no churn among existing 14 active clients. The 55% recurring revenue target reflects three further subscription renewals expected in Q2.</w:t>
      </w:r>
    </w:p>
    <w:p>
      <w:pPr>
        <w:spacing w:after="200" w:before="0"/>
      </w:pPr>
    </w:p>
    <w:p>
      <w:pPr>
        <w:pStyle w:val="Heading1"/>
        <w:spacing w:after="140" w:before="400"/>
      </w:pPr>
      <w:r>
        <w:rPr>
          <w:rFonts w:ascii="Calibri" w:cs="Calibri" w:eastAsia="Calibri" w:hAnsi="Calibri"/>
          <w:b/>
          <w:bCs/>
          <w:color w:val="0D1B2A"/>
          <w:sz w:val="30"/>
          <w:szCs w:val="30"/>
        </w:rPr>
        <w:t xml:space="preserve">7.  Board Action 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
        <w:gridCol w:w="4320"/>
        <w:gridCol w:w="2166"/>
        <w:gridCol w:w="2000"/>
      </w:tblGrid>
      <w:tr>
        <w:tc>
          <w:tcPr>
            <w:tcW w:type="dxa" w:w="54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Ref</w:t>
            </w:r>
          </w:p>
        </w:tc>
        <w:tc>
          <w:tcPr>
            <w:tcW w:type="dxa" w:w="432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Action</w:t>
            </w:r>
          </w:p>
        </w:tc>
        <w:tc>
          <w:tcPr>
            <w:tcW w:type="dxa" w:w="2166"/>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Owner</w:t>
            </w:r>
          </w:p>
        </w:tc>
        <w:tc>
          <w:tcPr>
            <w:tcW w:type="dxa" w:w="20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Deadline</w:t>
            </w:r>
          </w:p>
        </w:tc>
      </w:tr>
      <w:tr>
        <w:tc>
          <w:tcPr>
            <w:tcW w:type="dxa" w:w="54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FIN-01</w:t>
            </w:r>
          </w:p>
        </w:tc>
        <w:tc>
          <w:tcPr>
            <w:tcW w:type="dxa" w:w="432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Engineering Salary Uplift (15%): Board to approve salary uplift for engineering function — annualised cost USD 0.28M</w:t>
            </w:r>
          </w:p>
        </w:tc>
        <w:tc>
          <w:tcPr>
            <w:tcW w:type="dxa" w:w="216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Board</w:t>
            </w:r>
          </w:p>
        </w:tc>
        <w:tc>
          <w:tcPr>
            <w:tcW w:type="dxa" w:w="20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Q1 Board — 28 Mar 2025</w:t>
            </w:r>
          </w:p>
        </w:tc>
      </w:tr>
      <w:tr>
        <w:tc>
          <w:tcPr>
            <w:tcW w:type="dxa" w:w="54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FIN-02</w:t>
            </w:r>
          </w:p>
        </w:tc>
        <w:tc>
          <w:tcPr>
            <w:tcW w:type="dxa" w:w="432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ESOP Top-Up (4%): Board to approve ESOP pool expansion from 8% to 12% fully diluted</w:t>
            </w:r>
          </w:p>
        </w:tc>
        <w:tc>
          <w:tcPr>
            <w:tcW w:type="dxa" w:w="216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Board</w:t>
            </w:r>
          </w:p>
        </w:tc>
        <w:tc>
          <w:tcPr>
            <w:tcW w:type="dxa" w:w="20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Q1 Board — 28 Mar 2025</w:t>
            </w:r>
          </w:p>
        </w:tc>
      </w:tr>
      <w:tr>
        <w:tc>
          <w:tcPr>
            <w:tcW w:type="dxa" w:w="54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FIN-03</w:t>
            </w:r>
          </w:p>
        </w:tc>
        <w:tc>
          <w:tcPr>
            <w:tcW w:type="dxa" w:w="432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Runway Metric Retirement: CFO to propose replacement KPI framework from Q2 — EBITDA cash conversion</w:t>
            </w:r>
          </w:p>
        </w:tc>
        <w:tc>
          <w:tcPr>
            <w:tcW w:type="dxa" w:w="216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CFO</w:t>
            </w:r>
          </w:p>
        </w:tc>
        <w:tc>
          <w:tcPr>
            <w:tcW w:type="dxa" w:w="20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Q2 Board — Jun 2025</w:t>
            </w:r>
          </w:p>
        </w:tc>
      </w:tr>
      <w:tr>
        <w:tc>
          <w:tcPr>
            <w:tcW w:type="dxa" w:w="54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FIN-04</w:t>
            </w:r>
          </w:p>
        </w:tc>
        <w:tc>
          <w:tcPr>
            <w:tcW w:type="dxa" w:w="432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SA Entity: CFO to complete Lemasy SA (Pty) Ltd incorporation and open ZAR bank account</w:t>
            </w:r>
          </w:p>
        </w:tc>
        <w:tc>
          <w:tcPr>
            <w:tcW w:type="dxa" w:w="216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CFO</w:t>
            </w:r>
          </w:p>
        </w:tc>
        <w:tc>
          <w:tcPr>
            <w:tcW w:type="dxa" w:w="20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30 April 2025</w:t>
            </w:r>
          </w:p>
        </w:tc>
      </w:tr>
      <w:tr>
        <w:tc>
          <w:tcPr>
            <w:tcW w:type="dxa" w:w="54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FIN-05</w:t>
            </w:r>
          </w:p>
        </w:tc>
        <w:tc>
          <w:tcPr>
            <w:tcW w:type="dxa" w:w="432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FY 2025 Forecast Update: CFO to present updated full-year financial forecast at Q2, reflecting Q1 outperformance</w:t>
            </w:r>
          </w:p>
        </w:tc>
        <w:tc>
          <w:tcPr>
            <w:tcW w:type="dxa" w:w="216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CFO</w:t>
            </w:r>
          </w:p>
        </w:tc>
        <w:tc>
          <w:tcPr>
            <w:tcW w:type="dxa" w:w="20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Q2 Board — Jun 2025</w:t>
            </w:r>
          </w:p>
        </w:tc>
      </w:tr>
    </w:tbl>
    <w:p>
      <w:pPr>
        <w:spacing w:after="200" w:before="0"/>
      </w:pPr>
    </w:p>
    <w:p>
      <w:pPr>
        <w:pBdr>
          <w:bottom w:val="single" w:color="7B8FA6" w:sz="4" w:space="1"/>
        </w:pBdr>
        <w:spacing w:after="0"/>
      </w:pPr>
    </w:p>
    <w:p>
      <w:pPr>
        <w:spacing w:after="80" w:before="0"/>
      </w:pPr>
    </w:p>
    <w:p>
      <w:pPr>
        <w:spacing w:after="120" w:before="80"/>
        <w:jc w:val="both"/>
      </w:pPr>
      <w:r>
        <w:rPr>
          <w:rFonts w:ascii="Calibri" w:cs="Calibri" w:eastAsia="Calibri" w:hAnsi="Calibri"/>
          <w:b w:val="false"/>
          <w:bCs w:val="false"/>
          <w:color w:val="7B8FA6"/>
          <w:sz w:val="18"/>
          <w:szCs w:val="18"/>
        </w:rPr>
        <w:t xml:space="preserve">This report has been prepared for the exclusive use of the Board of Directors of Lemasy Limited. The information herein includes proprietary commercial data, client information, and strategic plans. Any reproduction or disclosure to any third party without prior written consent of the CEO is strictly prohibited.</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B4D8" w:sz="4" w:space="1"/>
      </w:pBdr>
      <w:tabs>
        <w:tab w:val="right" w:pos="9026"/>
      </w:tabs>
      <w:spacing w:before="80"/>
    </w:pPr>
    <w:r>
      <w:rPr>
        <w:rFonts w:ascii="Calibri" w:cs="Calibri" w:eastAsia="Calibri" w:hAnsi="Calibri"/>
        <w:color w:val="7B8FA6"/>
        <w:sz w:val="16"/>
        <w:szCs w:val="16"/>
      </w:rPr>
      <w:t xml:space="preserve">STRICTLY CONFIDENTIAL  |  For Board Use Only</w:t>
    </w:r>
    <w:r>
      <w:rPr>
        <w:rFonts w:ascii="Calibri" w:cs="Calibri" w:eastAsia="Calibri" w:hAnsi="Calibri"/>
        <w:sz w:val="16"/>
        <w:szCs w:val="16"/>
      </w:rPr>
      <w:t xml:space="preserve">	</w:t>
    </w:r>
    <w:r>
      <w:rPr>
        <w:rFonts w:ascii="Calibri" w:cs="Calibri" w:eastAsia="Calibri" w:hAnsi="Calibri"/>
        <w:color w:val="7B8FA6"/>
        <w:sz w:val="16"/>
        <w:szCs w:val="16"/>
      </w:rPr>
      <w:t xml:space="preserve">Page </w:t>
    </w:r>
    <w:r>
      <w:rPr>
        <w:rFonts w:ascii="Calibri" w:cs="Calibri" w:eastAsia="Calibri" w:hAnsi="Calibri"/>
        <w:color w:val="7B8F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D8" w:sz="4" w:space="1"/>
      </w:pBdr>
      <w:tabs>
        <w:tab w:val="right" w:pos="9026"/>
      </w:tabs>
      <w:spacing w:after="80"/>
    </w:pPr>
    <w:r>
      <w:rPr>
        <w:rFonts w:ascii="Calibri" w:cs="Calibri" w:eastAsia="Calibri" w:hAnsi="Calibri"/>
        <w:color w:val="7B8FA6"/>
        <w:sz w:val="17"/>
        <w:szCs w:val="17"/>
      </w:rPr>
      <w:t xml:space="preserve">Lemasy — Financial Results Report</w:t>
    </w:r>
    <w:r>
      <w:rPr>
        <w:rFonts w:ascii="Calibri" w:cs="Calibri" w:eastAsia="Calibri" w:hAnsi="Calibri"/>
        <w:sz w:val="17"/>
        <w:szCs w:val="17"/>
      </w:rPr>
      <w:t xml:space="preserve">	</w:t>
    </w:r>
    <w:r>
      <w:rPr>
        <w:rFonts w:ascii="Calibri" w:cs="Calibri" w:eastAsia="Calibri" w:hAnsi="Calibri"/>
        <w:color w:val="7B8FA6"/>
        <w:sz w:val="17"/>
        <w:szCs w:val="17"/>
      </w:rPr>
      <w:t xml:space="preserve">Q1 2025  |  January – March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Calibri" w:cs="Calibri" w:eastAsia="Calibri" w:hAnsi="Calibri"/>
      <w:b/>
      <w:bCs/>
      <w:color w:val="0D1B2A"/>
      <w:sz w:val="30"/>
      <w:szCs w:val="30"/>
    </w:rPr>
  </w:style>
  <w:style w:type="paragraph" w:styleId="Heading2">
    <w:name w:val="Heading 2"/>
    <w:basedOn w:val="Normal"/>
    <w:next w:val="Normal"/>
    <w:qFormat/>
    <w:pPr>
      <w:spacing w:after="100" w:before="280"/>
      <w:outlineLvl w:val="1"/>
    </w:pPr>
    <w:rPr>
      <w:rFonts w:ascii="Calibri" w:cs="Calibri" w:eastAsia="Calibri" w:hAnsi="Calibri"/>
      <w:b/>
      <w:bCs/>
      <w:color w:val="1E3A5F"/>
      <w:sz w:val="24"/>
      <w:szCs w:val="24"/>
    </w:rPr>
  </w:style>
  <w:style w:type="paragraph" w:styleId="Heading3">
    <w:name w:val="Heading 3"/>
    <w:basedOn w:val="Normal"/>
    <w:next w:val="Normal"/>
    <w:qFormat/>
    <w:pPr>
      <w:spacing w:after="80" w:before="200"/>
      <w:outlineLvl w:val="2"/>
    </w:pPr>
    <w:rPr>
      <w:rFonts w:ascii="Calibri" w:cs="Calibri" w:eastAsia="Calibri" w:hAnsi="Calibri"/>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2026-05-01T08:34:31.804Z</dcterms:created>
  <dcterms:modified xsi:type="dcterms:W3CDTF">2026-05-01T08:34:31.804Z</dcterms:modified>
</cp:coreProperties>
</file>

<file path=docProps/custom.xml><?xml version="1.0" encoding="utf-8"?>
<Properties xmlns="http://schemas.openxmlformats.org/officeDocument/2006/custom-properties" xmlns:vt="http://schemas.openxmlformats.org/officeDocument/2006/docPropsVTypes"/>
</file>