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Customer Status Report</w:t>
      </w:r>
    </w:p>
    <w:p>
      <w:pPr>
        <w:spacing w:after="80"/>
      </w:pPr>
      <w:r>
        <w:rPr>
          <w:rFonts w:ascii="Georgia" w:hAnsi="Georgia"/>
          <w:i/>
          <w:color w:val="4B5563"/>
          <w:sz w:val="28"/>
        </w:rPr>
        <w:t>Q1 2025 Product Adoption and Operational Delivery</w:t>
      </w:r>
    </w:p>
    <w:p>
      <w:pPr>
        <w:spacing w:before="240"/>
      </w:pPr>
      <w:r>
        <w:rPr>
          <w:rFonts w:ascii="Calibri" w:hAnsi="Calibri"/>
          <w:color w:val="4B5563"/>
          <w:sz w:val="20"/>
        </w:rPr>
        <w:t>Prepared for AKKI Context  ·  Q1 2025  ·  09 May 2026 · 18:33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Product adoption velocity and operational delivery quality exceeded expectations in Q1, with 73% of active clients migrating to v2.1 within the quarter and platform uptime reaching 99.81% against a 99.5% SLA. Banking and insurance sectors represent 68% of revenue, creating both regulatory compliance demand tailwinds and sector concentration risk. Eight of eleven active clients completed migration to the latest platform release, demonstrating customer confidence in product evolution. Operational metrics surpassed contractual commitments: model inference latency dropped 41% to 1,080ms average, targeting real-time verification workflows. Two African regulators published explainability guidance for AI in credit decisioning during Q1, cited as differentiating in one banking customer win. SOC 2 audit scheduled for completion represents a commercial unlocking factor for regulated financial services expansion.</w:t>
      </w:r>
    </w:p>
    <w:p/>
    <w:p>
      <w:pPr>
        <w:spacing w:before="280" w:after="120"/>
      </w:pPr>
      <w:r>
        <w:rPr>
          <w:rFonts w:ascii="Calibri" w:hAnsi="Calibri"/>
          <w:b/>
          <w:color w:val="0A1F44"/>
          <w:sz w:val="28"/>
        </w:rPr>
        <w:t>Product Adoption Velocity</w:t>
      </w:r>
    </w:p>
    <w:p>
      <w:pPr>
        <w:spacing w:after="120"/>
      </w:pPr>
      <w:r>
        <w:rPr>
          <w:rFonts w:ascii="Georgia" w:hAnsi="Georgia"/>
          <w:i w:val="0"/>
          <w:color w:val="111827"/>
          <w:sz w:val="22"/>
        </w:rPr>
        <w:t>Eight of eleven active clients migrated to v2.1 within the quarter of release. The platform upgrade introduced real-time data ingestion from external APIs, improved explainability dashboards, and reduced model inference latency by 41%. Migration velocity at 73% of the active client base indicates low switching friction and customer trust in product evolution.</w:t>
      </w:r>
    </w:p>
    <w:p>
      <w:pPr>
        <w:spacing w:after="120"/>
      </w:pPr>
      <w:r>
        <w:rPr>
          <w:rFonts w:ascii="Georgia" w:hAnsi="Georgia"/>
          <w:i w:val="0"/>
          <w:color w:val="111827"/>
          <w:sz w:val="22"/>
        </w:rPr>
        <w:t>The v2.1 release represents the most significant capability expansion to date. Client adoption occurred within the quarter despite the scale of architectural changes, suggesting alignment between product roadmap and customer operational requirements. One client relationship requires management attention due to immature data governance processes creating implementation friction. [2], [3], [4]</w:t>
      </w:r>
    </w:p>
    <w:p>
      <w:pPr>
        <w:spacing w:before="280" w:after="120"/>
      </w:pPr>
      <w:r>
        <w:rPr>
          <w:rFonts w:ascii="Calibri" w:hAnsi="Calibri"/>
          <w:b/>
          <w:color w:val="0A1F44"/>
          <w:sz w:val="28"/>
        </w:rPr>
        <w:t>Operational Metrics Exceed Contractual Commitments</w:t>
      </w:r>
    </w:p>
    <w:p>
      <w:pPr>
        <w:spacing w:after="120"/>
      </w:pPr>
      <w:r>
        <w:rPr>
          <w:rFonts w:ascii="Georgia" w:hAnsi="Georgia"/>
          <w:i w:val="0"/>
          <w:color w:val="111827"/>
          <w:sz w:val="22"/>
        </w:rPr>
        <w:t>Platform uptime reached 99.81% in Q1 against a contractual SLA of 99.5%. Model inference latency dropped from 1,840ms to 1,080ms average, a 41% reduction targeting real-time customer verification workflows. These metrics indicate operational discipline and infrastructure maturity, with delivery quality exceeding customer expectations by 31 basis points on availability.</w:t>
      </w:r>
    </w:p>
    <w:p>
      <w:pPr>
        <w:spacing w:after="120"/>
      </w:pPr>
      <w:r>
        <w:rPr>
          <w:rFonts w:ascii="Georgia" w:hAnsi="Georgia"/>
          <w:i w:val="0"/>
          <w:color w:val="111827"/>
          <w:sz w:val="22"/>
        </w:rPr>
        <w:t>The latency improvement addresses a known bottleneck in real-time use cases. Whether 1,080ms meets user experience thresholds for specific workflows depends on competitive benchmarks and customer tolerance, but the directional progress is material. Operational reliability was cited in at least one procurement outcome during the quarter. [1], [3]</w:t>
      </w:r>
    </w:p>
    <w:p>
      <w:pPr>
        <w:spacing w:before="160" w:after="160"/>
        <w:ind w:left="720" w:right="720"/>
      </w:pPr>
      <w:r>
        <w:rPr>
          <w:rFonts w:ascii="Georgia" w:hAnsi="Georgia"/>
          <w:i/>
          <w:color w:val="0A1F44"/>
          <w:sz w:val="26"/>
        </w:rPr>
        <w:t>“Platform uptime reached 99.81% against a 99.5% SLA, with model inference latency dropping 41% to 1,080ms average.”</w:t>
      </w:r>
    </w:p>
    <w:p>
      <w:pPr>
        <w:spacing w:before="280" w:after="120"/>
      </w:pPr>
      <w:r>
        <w:rPr>
          <w:rFonts w:ascii="Calibri" w:hAnsi="Calibri"/>
          <w:b/>
          <w:color w:val="0A1F44"/>
          <w:sz w:val="28"/>
        </w:rPr>
        <w:t>Sector Positioning and Concentration</w:t>
      </w:r>
    </w:p>
    <w:p>
      <w:pPr>
        <w:spacing w:after="120"/>
      </w:pPr>
      <w:r>
        <w:rPr>
          <w:rFonts w:ascii="Georgia" w:hAnsi="Georgia"/>
          <w:i w:val="0"/>
          <w:color w:val="111827"/>
          <w:sz w:val="22"/>
        </w:rPr>
        <w:t>Banking and insurance together represent 68% of revenue. This concentration reflects strong positioning in the most data-rich and regulation-driven sectors, where AI explainability and compliance requirements create procurement urgency. Both sectors are subject to increasing regulatory scrutiny in African markets, functioning simultaneously as demand tailwind and implementation risk.</w:t>
      </w:r>
    </w:p>
    <w:p>
      <w:pPr>
        <w:spacing w:after="120"/>
      </w:pPr>
      <w:r>
        <w:rPr>
          <w:rFonts w:ascii="Georgia" w:hAnsi="Georgia"/>
          <w:i w:val="0"/>
          <w:color w:val="111827"/>
          <w:sz w:val="22"/>
        </w:rPr>
        <w:t>Two African regulators published explainability guidance for AI in credit decisioning during Q1. The company's explainability dashboards were cited as differentiating in a banking customer win. Whether these publications create enforceable obligations or remain aspirational best practice will determine their influence on buying urgency in subsequent quarters. [1], [4]</w:t>
      </w:r>
    </w:p>
    <w:p>
      <w:pPr>
        <w:spacing w:before="280" w:after="120"/>
      </w:pPr>
      <w:r>
        <w:rPr>
          <w:rFonts w:ascii="Calibri" w:hAnsi="Calibri"/>
          <w:b/>
          <w:color w:val="0A1F44"/>
          <w:sz w:val="28"/>
        </w:rPr>
        <w:t>Commercial Positioning and Forward Indicators</w:t>
      </w:r>
    </w:p>
    <w:p>
      <w:pPr>
        <w:spacing w:after="120"/>
      </w:pPr>
      <w:r>
        <w:rPr>
          <w:rFonts w:ascii="Georgia" w:hAnsi="Georgia"/>
          <w:i w:val="0"/>
          <w:color w:val="111827"/>
          <w:sz w:val="22"/>
        </w:rPr>
        <w:t>Pipeline strength in the region is described as the strongest on record, driven by demand for AI-powered Know Your Customer, credit risk, and fraud detection applications from banks and insurers. SOC 2 audit is scheduled for completion and represents a significant commercial unlocking factor, particularly for regulated financial services clients.</w:t>
      </w:r>
    </w:p>
    <w:p>
      <w:pPr>
        <w:spacing w:after="120"/>
      </w:pPr>
      <w:r>
        <w:rPr>
          <w:rFonts w:ascii="Georgia" w:hAnsi="Georgia"/>
          <w:i w:val="0"/>
          <w:color w:val="111827"/>
          <w:sz w:val="22"/>
        </w:rPr>
        <w:t>A multimodal document processing release is scheduled for Q2 to address unstructured identity and financial document analysis. This capability expansion is positioned as a strategic move toward a platform model, expected to open a new mid-market customer segment. Headcount at quarter-end stood at 87 FTE, with Q1 net additions of 12 against an 8-person plan, driven by accelerated client onboarding requirements. [1], [3]</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q1-2025-product-market-position.docx</w:t>
      </w:r>
    </w:p>
    <w:p>
      <w:pPr>
        <w:spacing w:after="60"/>
      </w:pPr>
      <w:r>
        <w:rPr>
          <w:rFonts w:ascii="Calibri" w:hAnsi="Calibri"/>
          <w:b/>
          <w:color w:val="8B2E2B"/>
          <w:sz w:val="20"/>
        </w:rPr>
        <w:t xml:space="preserve">[2]  </w:t>
      </w:r>
      <w:r>
        <w:rPr>
          <w:rFonts w:ascii="Georgia" w:hAnsi="Georgia"/>
          <w:color w:val="111827"/>
          <w:sz w:val="20"/>
        </w:rPr>
        <w:t>customer-status-report.pptx</w:t>
      </w:r>
    </w:p>
    <w:p>
      <w:pPr>
        <w:spacing w:after="60"/>
      </w:pPr>
      <w:r>
        <w:rPr>
          <w:rFonts w:ascii="Calibri" w:hAnsi="Calibri"/>
          <w:b/>
          <w:color w:val="8B2E2B"/>
          <w:sz w:val="20"/>
        </w:rPr>
        <w:t xml:space="preserve">[3]  </w:t>
      </w:r>
      <w:r>
        <w:rPr>
          <w:rFonts w:ascii="Georgia" w:hAnsi="Georgia"/>
          <w:color w:val="111827"/>
          <w:sz w:val="20"/>
        </w:rPr>
        <w:t>lemasy_ceo_report_q1_2025</w:t>
      </w:r>
    </w:p>
    <w:p>
      <w:pPr>
        <w:spacing w:after="60"/>
      </w:pPr>
      <w:r>
        <w:rPr>
          <w:rFonts w:ascii="Calibri" w:hAnsi="Calibri"/>
          <w:b/>
          <w:color w:val="8B2E2B"/>
          <w:sz w:val="20"/>
        </w:rPr>
        <w:t xml:space="preserve">[4]  </w:t>
      </w:r>
      <w:r>
        <w:rPr>
          <w:rFonts w:ascii="Georgia" w:hAnsi="Georgia"/>
          <w:color w:val="111827"/>
          <w:sz w:val="20"/>
        </w:rPr>
        <w:t>lemasy_customer_report_q1_2025</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AKKI Context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