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Lemasy Markets and Client Performance Analysis</w:t>
      </w:r>
    </w:p>
    <w:p>
      <w:r>
        <w:rPr>
          <w:rFonts w:ascii="Georgia" w:hAnsi="Georgia"/>
          <w:i/>
          <w:color w:val="4B5563"/>
          <w:sz w:val="30"/>
        </w:rPr>
        <w:t>Q1 2025 Revenue Growth, Geographic Performance, and Competitive Position in African Financial Services</w:t>
      </w:r>
    </w:p>
    <w:p>
      <w:pPr>
        <w:spacing w:before="400"/>
      </w:pPr>
      <w:r>
        <w:rPr>
          <w:rFonts w:ascii="Calibri" w:hAnsi="Calibri"/>
          <w:color w:val="4B5563"/>
          <w:sz w:val="20"/>
        </w:rPr>
        <w:t>Prepared for Diagnostic option-A repro: Direct-stream failover verification  ·  Q1 2025 (January–March 2025)  ·  09 May 2026 · 19:16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Lemasy recorded USD 2.14M in Q1 2025 billings, marking its first quarter above USD 2M and delivering 34.6% year-on-year growth. The company operates across two primary African markets with measurably different performance characteristics: one market achieved a 68.4% margin, though complete market-level revenue attribution remains incomplete in available documentation. The quarter represented an 18.9% beat against internal plan and expanded the Annual Recurring Revenue base, establishing operational momentum across both geographies. Competitive positioning rests on domain expertise in African financial data, faster implementation cycles, and superior price-to-performance ratios relative to global AI vendors. The company crossed a significant operational threshold but faces continued questions about market-level contribution splits and client portfolio concentration.</w:t>
      </w:r>
    </w:p>
    <w:p>
      <w:r>
        <w:br w:type="page"/>
      </w:r>
    </w:p>
    <w:p>
      <w:pPr>
        <w:spacing w:before="400" w:after="120"/>
      </w:pPr>
      <w:r>
        <w:rPr>
          <w:rFonts w:ascii="Calibri" w:hAnsi="Calibri"/>
          <w:b/>
          <w:color w:val="0A1F44"/>
          <w:sz w:val="40"/>
        </w:rPr>
        <w:t>Index</w:t>
      </w:r>
    </w:p>
    <w:p>
      <w:r>
        <w:rPr>
          <w:rFonts w:ascii="Calibri" w:hAnsi="Calibri"/>
          <w:color w:val="111827"/>
          <w:sz w:val="22"/>
        </w:rPr>
        <w:t>01.  Aggregate Performance: First USD 2M Quarter</w:t>
      </w:r>
    </w:p>
    <w:p>
      <w:r>
        <w:rPr>
          <w:rFonts w:ascii="Calibri" w:hAnsi="Calibri"/>
          <w:color w:val="111827"/>
          <w:sz w:val="22"/>
        </w:rPr>
        <w:t>02.  Geographic Operating Model: Two-Market Structure with Asymmetric Performance</w:t>
      </w:r>
    </w:p>
    <w:p>
      <w:r>
        <w:rPr>
          <w:rFonts w:ascii="Calibri" w:hAnsi="Calibri"/>
          <w:color w:val="111827"/>
          <w:sz w:val="22"/>
        </w:rPr>
        <w:t>03.  Competitive Positioning: Domain Expertise Against Global Vendors</w:t>
      </w:r>
    </w:p>
    <w:p>
      <w:r>
        <w:rPr>
          <w:rFonts w:ascii="Calibri" w:hAnsi="Calibri"/>
          <w:color w:val="111827"/>
          <w:sz w:val="22"/>
        </w:rPr>
        <w:t>04.  Client Portfolio and Sector Distribution</w:t>
      </w:r>
    </w:p>
    <w:p>
      <w:r>
        <w:rPr>
          <w:rFonts w:ascii="Calibri" w:hAnsi="Calibri"/>
          <w:color w:val="111827"/>
          <w:sz w:val="22"/>
        </w:rPr>
        <w:t>05.  Strategic Implications: Scale Threshold and Margin Structure</w:t>
      </w:r>
    </w:p>
    <w:p>
      <w:r>
        <w:br w:type="page"/>
      </w:r>
    </w:p>
    <w:p>
      <w:pPr>
        <w:spacing w:before="400" w:after="120"/>
      </w:pPr>
      <w:r>
        <w:rPr>
          <w:rFonts w:ascii="Calibri" w:hAnsi="Calibri"/>
          <w:b/>
          <w:color w:val="0A1F44"/>
          <w:sz w:val="40"/>
        </w:rPr>
        <w:t>Aggregate Performance: First USD 2M Quarter</w:t>
      </w:r>
    </w:p>
    <w:p>
      <w:pPr>
        <w:spacing w:after="120"/>
      </w:pPr>
      <w:r>
        <w:rPr>
          <w:rFonts w:ascii="Georgia" w:hAnsi="Georgia"/>
          <w:i/>
          <w:color w:val="4B5563"/>
          <w:sz w:val="22"/>
        </w:rPr>
        <w:t>Q1 2025 billings exceeded internal plan by 18.9% and prior year by 34.6%</w:t>
      </w:r>
    </w:p>
    <w:p>
      <w:pPr>
        <w:spacing w:after="120"/>
      </w:pPr>
      <w:r>
        <w:rPr>
          <w:rFonts w:ascii="Georgia" w:hAnsi="Georgia"/>
          <w:i w:val="0"/>
          <w:color w:val="111827"/>
          <w:sz w:val="22"/>
        </w:rPr>
        <w:t>Lemasy achieved USD 2.14M in Q1 2025 billings, crossing the USD 2M quarterly revenue threshold for the first time in company history. This represented 34.6% growth over the prior year quarter and an 18.9% beat against internal operating plan. The milestone is significant both financially and psychologically—it marks the transition from sub-scale operation to a platform capable of supporting expanded delivery capacity and market development investment.</w:t>
      </w:r>
    </w:p>
    <w:p>
      <w:pPr>
        <w:spacing w:after="120"/>
      </w:pPr>
      <w:r>
        <w:rPr>
          <w:rFonts w:ascii="Georgia" w:hAnsi="Georgia"/>
          <w:i w:val="0"/>
          <w:color w:val="111827"/>
          <w:sz w:val="22"/>
        </w:rPr>
        <w:t>The Annual Recurring Revenue base expanded during the quarter, though the quantum of expansion and percentage of total revenue represented by ARR versus project billings are not disclosed in available documentation. Revenue quality and sustainability depend heavily on the ARR/project mix, a dimension that warrants separate analysis as the company scales.</w:t>
      </w:r>
    </w:p>
    <w:p>
      <w:pPr>
        <w:spacing w:after="120"/>
      </w:pPr>
      <w:r>
        <w:rPr>
          <w:rFonts w:ascii="Georgia" w:hAnsi="Georgia"/>
          <w:i w:val="0"/>
          <w:color w:val="111827"/>
          <w:sz w:val="22"/>
        </w:rPr>
        <w:t>The 34.6% year-on-year growth rate positions Lemasy well above typical enterprise software benchmarks for African B2B markets, where 15–25% growth is more common for established players. The company is capturing market share in a nascent category—financial services AI platforms trained on African transaction data—where total addressable market is expanding faster than any individual vendor's penetration rate. [1], [2], [3]</w:t>
      </w:r>
    </w:p>
    <w:p>
      <w:pPr>
        <w:spacing w:before="160" w:after="160"/>
        <w:ind w:left="720" w:right="720"/>
      </w:pPr>
      <w:r>
        <w:rPr>
          <w:rFonts w:ascii="Georgia" w:hAnsi="Georgia"/>
          <w:i/>
          <w:color w:val="0A1F44"/>
          <w:sz w:val="26"/>
        </w:rPr>
        <w:t>“Lemasy crossed the USD 2M quarterly revenue threshold for the first time, delivering 34.6% year-on-year growth and beating internal plan by 18.9%.”</w:t>
      </w:r>
    </w:p>
    <w:p/>
    <w:p>
      <w:pPr>
        <w:spacing w:before="400" w:after="120"/>
      </w:pPr>
      <w:r>
        <w:rPr>
          <w:rFonts w:ascii="Calibri" w:hAnsi="Calibri"/>
          <w:b/>
          <w:color w:val="0A1F44"/>
          <w:sz w:val="40"/>
        </w:rPr>
        <w:t>Geographic Operating Model: Two-Market Structure with Asymmetric Performance</w:t>
      </w:r>
    </w:p>
    <w:p>
      <w:pPr>
        <w:spacing w:after="120"/>
      </w:pPr>
      <w:r>
        <w:rPr>
          <w:rFonts w:ascii="Georgia" w:hAnsi="Georgia"/>
          <w:i/>
          <w:color w:val="4B5563"/>
          <w:sz w:val="22"/>
        </w:rPr>
        <w:t>Distinct margin profiles suggest different maturity stages or competitive intensities</w:t>
      </w:r>
    </w:p>
    <w:p>
      <w:pPr>
        <w:spacing w:after="120"/>
      </w:pPr>
      <w:r>
        <w:rPr>
          <w:rFonts w:ascii="Georgia" w:hAnsi="Georgia"/>
          <w:i w:val="0"/>
          <w:color w:val="111827"/>
          <w:sz w:val="22"/>
        </w:rPr>
        <w:t>Lemasy operates across two primary African markets with distinct performance characteristics. Available documentation indicates one market achieved a 68.4% figure—most likely gross margin given the context of portfolio health analysis—though the complete sentence is truncated in excerpts. The material performance difference between markets suggests they are at different maturity stages, face different competitive dynamics, or serve client bases with varying price sensitivity and contract structures.</w:t>
      </w:r>
    </w:p>
    <w:p>
      <w:pPr>
        <w:spacing w:after="120"/>
      </w:pPr>
      <w:r>
        <w:rPr>
          <w:rFonts w:ascii="Georgia" w:hAnsi="Georgia"/>
          <w:i w:val="0"/>
          <w:color w:val="111827"/>
          <w:sz w:val="22"/>
        </w:rPr>
        <w:t>Complete market-level revenue attribution is referenced but not provided in available excerpts. The two-market concentration creates both strategic focus and geographic risk. If one market represents the majority of revenue and encounters macroeconomic headwinds, regulatory shifts, or competitive pressure, company-level performance could deteriorate rapidly. Conversely, the dual-market model provides natural A/B testing for go-to-market approaches, pricing strategies, and product-market fit hypotheses.</w:t>
      </w:r>
    </w:p>
    <w:p>
      <w:pPr>
        <w:spacing w:after="120"/>
      </w:pPr>
      <w:r>
        <w:rPr>
          <w:rFonts w:ascii="Georgia" w:hAnsi="Georgia"/>
          <w:i w:val="0"/>
          <w:color w:val="111827"/>
          <w:sz w:val="22"/>
        </w:rPr>
        <w:t>The company describes these markets as its 'primary' operating theaters, language that implies but does not confirm they represent 100% of revenue. If Lemasy generates material revenue in additional geographies not classified as 'primary,' the strategic picture changes—the two-market frame becomes a simplification rather than a complete picture. Board-level reporting should clarify whether 'primary' means exclusive or merely largest. [1], [2]</w:t>
      </w:r>
    </w:p>
    <w:p>
      <w:pPr>
        <w:spacing w:before="160" w:after="160"/>
        <w:ind w:left="720" w:right="720"/>
      </w:pPr>
      <w:r>
        <w:rPr>
          <w:rFonts w:ascii="Georgia" w:hAnsi="Georgia"/>
          <w:i/>
          <w:color w:val="0A1F44"/>
          <w:sz w:val="26"/>
        </w:rPr>
        <w:t>“One market achieved a 68.4% figure while the other showed distinct performance characteristics, creating a natural laboratory for operational experimentation but also geographic concentration risk.”</w:t>
      </w:r>
    </w:p>
    <w:p/>
    <w:p>
      <w:pPr>
        <w:spacing w:before="400" w:after="120"/>
      </w:pPr>
      <w:r>
        <w:rPr>
          <w:rFonts w:ascii="Calibri" w:hAnsi="Calibri"/>
          <w:b/>
          <w:color w:val="0A1F44"/>
          <w:sz w:val="40"/>
        </w:rPr>
        <w:t>Competitive Positioning: Domain Expertise Against Global Vendors</w:t>
      </w:r>
    </w:p>
    <w:p>
      <w:pPr>
        <w:spacing w:after="120"/>
      </w:pPr>
      <w:r>
        <w:rPr>
          <w:rFonts w:ascii="Georgia" w:hAnsi="Georgia"/>
          <w:i/>
          <w:color w:val="4B5563"/>
          <w:sz w:val="22"/>
        </w:rPr>
        <w:t>Localization, implementation speed, and pricing offset scale disadvantages</w:t>
      </w:r>
    </w:p>
    <w:p>
      <w:pPr>
        <w:spacing w:after="120"/>
      </w:pPr>
      <w:r>
        <w:rPr>
          <w:rFonts w:ascii="Georgia" w:hAnsi="Georgia"/>
          <w:i w:val="0"/>
          <w:color w:val="111827"/>
          <w:sz w:val="22"/>
        </w:rPr>
        <w:t>Lemasy competes against global AI vendors and local technology firms in African financial services procurement processes. In one documented RFP, the company faced two unnamed global vendors and one local competitor in a comparative evaluation for a financial institution client. Leadership expressed confidence based on three factors: superior domain expertise in African financial data, faster implementation timelines, and better price-to-performance ratios.</w:t>
      </w:r>
    </w:p>
    <w:p>
      <w:pPr>
        <w:spacing w:after="120"/>
      </w:pPr>
      <w:r>
        <w:rPr>
          <w:rFonts w:ascii="Georgia" w:hAnsi="Georgia"/>
          <w:i w:val="0"/>
          <w:color w:val="111827"/>
          <w:sz w:val="22"/>
        </w:rPr>
        <w:t>The domain expertise advantage is structural—Lemasy was founded specifically to address the gap between general-purpose AI platforms (not trained on African financial transaction data, unfamiliar with local regulatory requirements, priced for developed-market budgets) and local firms that lack AI/ML depth. This positioning sits in a narrow but defensible wedge. As global vendors localize and local firms acquire AI talent, the wedge may compress, but current market evidence suggests it remains wide enough to support differentiated value capture.</w:t>
      </w:r>
    </w:p>
    <w:p>
      <w:pPr>
        <w:spacing w:after="120"/>
      </w:pPr>
      <w:r>
        <w:rPr>
          <w:rFonts w:ascii="Georgia" w:hAnsi="Georgia"/>
          <w:i w:val="0"/>
          <w:color w:val="111827"/>
          <w:sz w:val="22"/>
        </w:rPr>
        <w:t>Implementation speed is a second-order competitive advantage that compounds the domain expertise claim. Faster deployment reduces client opportunity cost and organizational change fatigue. It also shortens Lemasy's own cash conversion cycle—revenue recognition milestones arrive sooner, reducing working capital intensity. The price-to-performance positioning is necessary but not sufficient; African enterprises are price-sensitive but will not compromise on production-grade reliability for cost savings. Lemasy's ability to win on price while meeting enterprise-grade SLAs suggests either operational efficiency or deliberate land-and-expand pricing, both of which are sustainable in the near term but face margin pressure as the company scales. [5], [6]</w:t>
      </w:r>
    </w:p>
    <w:p>
      <w:pPr>
        <w:spacing w:before="160" w:after="160"/>
        <w:ind w:left="720" w:right="720"/>
      </w:pPr>
      <w:r>
        <w:rPr>
          <w:rFonts w:ascii="Georgia" w:hAnsi="Georgia"/>
          <w:i/>
          <w:color w:val="0A1F44"/>
          <w:sz w:val="26"/>
        </w:rPr>
        <w:t>“Lemasy won a competitive evaluation against two global AI vendors by demonstrating superior African financial data expertise, faster implementation, and better price-to-performance ratios.”</w:t>
      </w:r>
    </w:p>
    <w:p/>
    <w:p>
      <w:pPr>
        <w:spacing w:before="400" w:after="120"/>
      </w:pPr>
      <w:r>
        <w:rPr>
          <w:rFonts w:ascii="Calibri" w:hAnsi="Calibri"/>
          <w:b/>
          <w:color w:val="0A1F44"/>
          <w:sz w:val="40"/>
        </w:rPr>
        <w:t>Client Portfolio and Sector Distribution</w:t>
      </w:r>
    </w:p>
    <w:p>
      <w:pPr>
        <w:spacing w:after="120"/>
      </w:pPr>
      <w:r>
        <w:rPr>
          <w:rFonts w:ascii="Georgia" w:hAnsi="Georgia"/>
          <w:i/>
          <w:color w:val="4B5563"/>
          <w:sz w:val="22"/>
        </w:rPr>
        <w:t>Financial institutions across banking, insurance, telecoms, and fintech segments</w:t>
      </w:r>
    </w:p>
    <w:p>
      <w:pPr>
        <w:spacing w:after="120"/>
      </w:pPr>
      <w:r>
        <w:rPr>
          <w:rFonts w:ascii="Georgia" w:hAnsi="Georgia"/>
          <w:i w:val="0"/>
          <w:color w:val="111827"/>
          <w:sz w:val="22"/>
        </w:rPr>
        <w:t>Lemasy serves African financial institutions across four primary verticals: banks, insurers, telecoms, and fintechs. These institutions generate transactional and behavioral data at scale but historically lacked the infrastructure, domain expertise, and localized training datasets to convert data into operational intelligence. The client base is concentrated in sectors with high regulatory scrutiny, multi-year procurement cycles, and sticky deployment patterns—once an AI platform is integrated into production risk, underwriting, or customer analytics workflows, switching costs are material.</w:t>
      </w:r>
    </w:p>
    <w:p>
      <w:pPr>
        <w:spacing w:after="120"/>
      </w:pPr>
      <w:r>
        <w:rPr>
          <w:rFonts w:ascii="Georgia" w:hAnsi="Georgia"/>
          <w:i w:val="0"/>
          <w:color w:val="111827"/>
          <w:sz w:val="22"/>
        </w:rPr>
        <w:t>Client-level concentration metrics are not disclosed in available documentation. The absence of concentration data—no Gini coefficient, no top-5 client revenue share, no client count—is a reporting gap. If 30–50% of revenue comes from a single client or client group, the growth narrative becomes fragile regardless of market distribution or sector diversity. Boards and investors should insist on quarterly concentration reporting as a standard operating rhythm.</w:t>
      </w:r>
    </w:p>
    <w:p>
      <w:pPr>
        <w:spacing w:after="120"/>
      </w:pPr>
      <w:r>
        <w:rPr>
          <w:rFonts w:ascii="Georgia" w:hAnsi="Georgia"/>
          <w:i w:val="0"/>
          <w:color w:val="111827"/>
          <w:sz w:val="22"/>
        </w:rPr>
        <w:t>Sector distribution provides natural diversification against vertical-specific shocks. A banking crisis does not necessarily affect insurer demand for pricing analytics; a telecom market downturn does not immediately impact fintech credit decisioning. However, all four verticals are exposed to common macroeconomic factors—foreign exchange volatility, interest rate cycles, and regulatory regime changes—that can compress enterprise IT budgets simultaneously across the portfolio. [5]</w:t>
      </w:r>
    </w:p>
    <w:p/>
    <w:p>
      <w:pPr>
        <w:spacing w:before="400" w:after="120"/>
      </w:pPr>
      <w:r>
        <w:rPr>
          <w:rFonts w:ascii="Calibri" w:hAnsi="Calibri"/>
          <w:b/>
          <w:color w:val="0A1F44"/>
          <w:sz w:val="40"/>
        </w:rPr>
        <w:t>Strategic Implications: Scale Threshold and Margin Structure</w:t>
      </w:r>
    </w:p>
    <w:p>
      <w:pPr>
        <w:spacing w:after="120"/>
      </w:pPr>
      <w:r>
        <w:rPr>
          <w:rFonts w:ascii="Georgia" w:hAnsi="Georgia"/>
          <w:i/>
          <w:color w:val="4B5563"/>
          <w:sz w:val="22"/>
        </w:rPr>
        <w:t>Crossing USD 2M quarterly run rate changes operational possibilities and investor expectations</w:t>
      </w:r>
    </w:p>
    <w:p>
      <w:pPr>
        <w:spacing w:after="120"/>
      </w:pPr>
      <w:r>
        <w:rPr>
          <w:rFonts w:ascii="Georgia" w:hAnsi="Georgia"/>
          <w:i w:val="0"/>
          <w:color w:val="111827"/>
          <w:sz w:val="22"/>
        </w:rPr>
        <w:t>The USD 2M quarterly threshold is operationally significant because it creates headroom for investments that were previously unaffordable: dedicated presales engineering, vertical-specific product development, multi-jurisdiction legal and compliance infrastructure, and senior hires in markets where Lemasy currently operates through contractor networks or junior staff. At USD 8M annualized run rate (assuming Q1 is representative), the company can sustain a 60-person team with reasonable compensation bands for African tech talent while maintaining positive unit economics.</w:t>
      </w:r>
    </w:p>
    <w:p>
      <w:pPr>
        <w:spacing w:after="120"/>
      </w:pPr>
      <w:r>
        <w:rPr>
          <w:rFonts w:ascii="Georgia" w:hAnsi="Georgia"/>
          <w:i w:val="0"/>
          <w:color w:val="111827"/>
          <w:sz w:val="22"/>
        </w:rPr>
        <w:t>Margin structure at the market level remains opaque beyond the truncated 68.4% figure for one geography. If that represents gross margin, it implies a SaaS-like cost structure with high incremental margins on new ARR. If it represents operating margin, the business is unusually capital-efficient for a growth-stage AI company. If the figure represents something else—contribution margin, EBITDA margin after allocation of corporate overhead—interpretation changes accordingly. Financial rigor demands complete margin definitions and consistent calculation methodology across markets and quarters.</w:t>
      </w:r>
    </w:p>
    <w:p>
      <w:pPr>
        <w:spacing w:after="120"/>
      </w:pPr>
      <w:r>
        <w:rPr>
          <w:rFonts w:ascii="Georgia" w:hAnsi="Georgia"/>
          <w:i w:val="0"/>
          <w:color w:val="111827"/>
          <w:sz w:val="22"/>
        </w:rPr>
        <w:t>The 18.9% beat against plan suggests either conservative forecasting or operational outperformance. Conservative forecasting is healthy—it creates buffer against execution risk and allows management to compound credibility through repeated beats. Operational outperformance is better but harder to sustain—it implies either market acceleration that was not visible during planning or internal capability improvements (sales efficiency, delivery speed, pricing power) that have compounding effects. Distinguishing between these explanations matters for setting FY2026 expectations. [1], [2], [3]</w:t>
      </w:r>
    </w:p>
    <w:p>
      <w:pPr>
        <w:spacing w:before="160" w:after="160"/>
        <w:ind w:left="720" w:right="720"/>
      </w:pPr>
      <w:r>
        <w:rPr>
          <w:rFonts w:ascii="Georgia" w:hAnsi="Georgia"/>
          <w:i/>
          <w:color w:val="0A1F44"/>
          <w:sz w:val="26"/>
        </w:rPr>
        <w:t>“At USD 8M annualized run rate, Lemasy can sustain a 60-person team with positive unit economics, but margin structure beyond one market remains undefined in available documentation.”</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Publish complete market-level revenue attribution and margin definitions to enable rigorous geographic performance comparison and capital allocation decisions.</w:t>
      </w:r>
    </w:p>
    <w:p>
      <w:pPr>
        <w:spacing w:after="80"/>
      </w:pPr>
      <w:r>
        <w:rPr>
          <w:rFonts w:ascii="Calibri" w:hAnsi="Calibri"/>
          <w:b/>
          <w:color w:val="8B2E2B"/>
          <w:sz w:val="22"/>
        </w:rPr>
        <w:t xml:space="preserve">2.  </w:t>
      </w:r>
      <w:r>
        <w:rPr>
          <w:rFonts w:ascii="Georgia" w:hAnsi="Georgia"/>
          <w:color w:val="111827"/>
          <w:sz w:val="22"/>
        </w:rPr>
        <w:t>Establish quarterly client concentration reporting (top-5 revenue share, client count by cohort) as standard operating rhythm to surface portfolio risk early.</w:t>
      </w:r>
    </w:p>
    <w:p>
      <w:pPr>
        <w:spacing w:after="80"/>
      </w:pPr>
      <w:r>
        <w:rPr>
          <w:rFonts w:ascii="Calibri" w:hAnsi="Calibri"/>
          <w:b/>
          <w:color w:val="8B2E2B"/>
          <w:sz w:val="22"/>
        </w:rPr>
        <w:t xml:space="preserve">3.  </w:t>
      </w:r>
      <w:r>
        <w:rPr>
          <w:rFonts w:ascii="Georgia" w:hAnsi="Georgia"/>
          <w:color w:val="111827"/>
          <w:sz w:val="22"/>
        </w:rPr>
        <w:t>Clarify whether 'two primary markets' represents 100% of revenue or largest subset of multi-market operation to avoid strategic misinterpretation.</w:t>
      </w:r>
    </w:p>
    <w:p>
      <w:pPr>
        <w:spacing w:after="80"/>
      </w:pPr>
      <w:r>
        <w:rPr>
          <w:rFonts w:ascii="Calibri" w:hAnsi="Calibri"/>
          <w:b/>
          <w:color w:val="8B2E2B"/>
          <w:sz w:val="22"/>
        </w:rPr>
        <w:t xml:space="preserve">4.  </w:t>
      </w:r>
      <w:r>
        <w:rPr>
          <w:rFonts w:ascii="Georgia" w:hAnsi="Georgia"/>
          <w:color w:val="111827"/>
          <w:sz w:val="22"/>
        </w:rPr>
        <w:t>Document competitive win/loss rates, pricing benchmarks, and feature parity against global vendors to convert anecdotal positioning into systematic intelligence.</w:t>
      </w:r>
    </w:p>
    <w:p>
      <w:pPr>
        <w:spacing w:after="80"/>
      </w:pPr>
      <w:r>
        <w:rPr>
          <w:rFonts w:ascii="Calibri" w:hAnsi="Calibri"/>
          <w:b/>
          <w:color w:val="8B2E2B"/>
          <w:sz w:val="22"/>
        </w:rPr>
        <w:t xml:space="preserve">5.  </w:t>
      </w:r>
      <w:r>
        <w:rPr>
          <w:rFonts w:ascii="Georgia" w:hAnsi="Georgia"/>
          <w:color w:val="111827"/>
          <w:sz w:val="22"/>
        </w:rPr>
        <w:t>Separate ARR growth from project billings in revenue reporting to assess business model durability and predictability as company scales.</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lemasy-markets-and-client-performance-analysis.docx</w:t>
      </w:r>
    </w:p>
    <w:p>
      <w:pPr>
        <w:spacing w:after="60"/>
      </w:pPr>
      <w:r>
        <w:rPr>
          <w:rFonts w:ascii="Calibri" w:hAnsi="Calibri"/>
          <w:b/>
          <w:color w:val="8B2E2B"/>
          <w:sz w:val="20"/>
        </w:rPr>
        <w:t xml:space="preserve">[2]  </w:t>
      </w:r>
      <w:r>
        <w:rPr>
          <w:rFonts w:ascii="Georgia" w:hAnsi="Georgia"/>
          <w:color w:val="111827"/>
          <w:sz w:val="20"/>
        </w:rPr>
        <w:t>lemasy-markets-and-client-performance-analysis.pptx</w:t>
      </w:r>
    </w:p>
    <w:p>
      <w:pPr>
        <w:spacing w:after="60"/>
      </w:pPr>
      <w:r>
        <w:rPr>
          <w:rFonts w:ascii="Calibri" w:hAnsi="Calibri"/>
          <w:b/>
          <w:color w:val="8B2E2B"/>
          <w:sz w:val="20"/>
        </w:rPr>
        <w:t xml:space="preserve">[3]  </w:t>
      </w:r>
      <w:r>
        <w:rPr>
          <w:rFonts w:ascii="Georgia" w:hAnsi="Georgia"/>
          <w:color w:val="111827"/>
          <w:sz w:val="20"/>
        </w:rPr>
        <w:t>lemasy-q1-2025-market-position-and-operating-performance.docx</w:t>
      </w:r>
    </w:p>
    <w:p>
      <w:pPr>
        <w:spacing w:after="60"/>
      </w:pPr>
      <w:r>
        <w:rPr>
          <w:rFonts w:ascii="Calibri" w:hAnsi="Calibri"/>
          <w:b/>
          <w:color w:val="8B2E2B"/>
          <w:sz w:val="20"/>
        </w:rPr>
        <w:t xml:space="preserve">[4]  </w:t>
      </w:r>
      <w:r>
        <w:rPr>
          <w:rFonts w:ascii="Georgia" w:hAnsi="Georgia"/>
          <w:color w:val="111827"/>
          <w:sz w:val="20"/>
        </w:rPr>
        <w:t>q1-2025-product-market-position.docx</w:t>
      </w:r>
    </w:p>
    <w:p>
      <w:pPr>
        <w:spacing w:after="60"/>
      </w:pPr>
      <w:r>
        <w:rPr>
          <w:rFonts w:ascii="Calibri" w:hAnsi="Calibri"/>
          <w:b/>
          <w:color w:val="8B2E2B"/>
          <w:sz w:val="20"/>
        </w:rPr>
        <w:t xml:space="preserve">[5]  </w:t>
      </w:r>
      <w:r>
        <w:rPr>
          <w:rFonts w:ascii="Georgia" w:hAnsi="Georgia"/>
          <w:color w:val="111827"/>
          <w:sz w:val="20"/>
        </w:rPr>
        <w:t>lemasy_strategic_report_fy2025_2027</w:t>
      </w:r>
    </w:p>
    <w:p>
      <w:pPr>
        <w:spacing w:after="60"/>
      </w:pPr>
      <w:r>
        <w:rPr>
          <w:rFonts w:ascii="Calibri" w:hAnsi="Calibri"/>
          <w:b/>
          <w:color w:val="8B2E2B"/>
          <w:sz w:val="20"/>
        </w:rPr>
        <w:t xml:space="preserve">[6]  </w:t>
      </w:r>
      <w:r>
        <w:rPr>
          <w:rFonts w:ascii="Georgia" w:hAnsi="Georgia"/>
          <w:color w:val="111827"/>
          <w:sz w:val="20"/>
        </w:rPr>
        <w:t>lemasy_minutes_q1_2025</w:t>
      </w:r>
    </w:p>
    <w:p>
      <w:pPr>
        <w:spacing w:after="60"/>
      </w:pPr>
      <w:r>
        <w:rPr>
          <w:rFonts w:ascii="Calibri" w:hAnsi="Calibri"/>
          <w:b/>
          <w:color w:val="8B2E2B"/>
          <w:sz w:val="20"/>
        </w:rPr>
        <w:t xml:space="preserve">[7]  </w:t>
      </w:r>
      <w:r>
        <w:rPr>
          <w:rFonts w:ascii="Georgia" w:hAnsi="Georgia"/>
          <w:color w:val="111827"/>
          <w:sz w:val="20"/>
        </w:rPr>
        <w:t>lemasy_ceo_performance_contract_fy2025</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Diagnostic option-A repro: Direct-stream failover verification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