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200" w:after="160"/>
      </w:pPr>
      <w:r>
        <w:rPr>
          <w:rFonts w:ascii="Georgia" w:hAnsi="Georgia"/>
          <w:b/>
          <w:color w:val="0A1F44"/>
          <w:sz w:val="56"/>
        </w:rPr>
        <w:t>Lemasy Markets and Client Performance Analysis</w:t>
      </w:r>
    </w:p>
    <w:p>
      <w:pPr>
        <w:spacing w:after="80"/>
      </w:pPr>
      <w:r>
        <w:rPr>
          <w:rFonts w:ascii="Georgia" w:hAnsi="Georgia"/>
          <w:i/>
          <w:color w:val="4B5563"/>
          <w:sz w:val="28"/>
        </w:rPr>
        <w:t>Q1 2025 Revenue Distribution, Geographic Margins, and Portfolio Health Across African Financial Services</w:t>
      </w:r>
    </w:p>
    <w:p>
      <w:pPr>
        <w:spacing w:before="240"/>
      </w:pPr>
      <w:r>
        <w:rPr>
          <w:rFonts w:ascii="Calibri" w:hAnsi="Calibri"/>
          <w:color w:val="4B5563"/>
          <w:sz w:val="20"/>
        </w:rPr>
        <w:t>Prepared for Diagnostic option-A repro: Direct-stream failover verification  ·  Q1 2025 (January–March 2025)  ·  09 May 2026 · 18:57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Lemasy recorded USD 2.14M in Q1 2025 billings, marking its first quarter above USD 2M and delivering 34.6% year-on-year growth. The company operates across two primary African markets with distinct performance characteristics: its first market achieved a 68.4% gross margin driven by recurring subscription revenue, while its second market delivered 61.8% margins with a higher proportion of implementation fees. Banking and insurance clients collectively generated 68% of revenue, reflecting the company's concentration in data-intensive, regulation-driven sectors. Three new subscription clients were added in the first market during Q1, with recurring revenue streams extending beyond the quarter. One insurance client relationship flagged for management attention due to data governance immaturity, creating implementation friction that warrants monitoring.</w:t>
      </w:r>
    </w:p>
    <w:p/>
    <w:p>
      <w:pPr>
        <w:spacing w:before="280" w:after="120"/>
      </w:pPr>
      <w:r>
        <w:rPr>
          <w:rFonts w:ascii="Calibri" w:hAnsi="Calibri"/>
          <w:b/>
          <w:color w:val="0A1F44"/>
          <w:sz w:val="28"/>
        </w:rPr>
        <w:t>Geographic Market Performance</w:t>
      </w:r>
    </w:p>
    <w:p>
      <w:pPr>
        <w:spacing w:after="120"/>
      </w:pPr>
      <w:r>
        <w:rPr>
          <w:rFonts w:ascii="Georgia" w:hAnsi="Georgia"/>
          <w:i w:val="0"/>
          <w:color w:val="111827"/>
          <w:sz w:val="22"/>
        </w:rPr>
        <w:t>Lemasy's Q1 2025 performance was anchored by differential margin profiles across its two African operating markets. The first market generated a 68.4% gross margin, materially exceeding the second market's 61.8%. This seven-percentage-point differential stems from revenue composition: the first market portfolio carries a higher proportion of recurring subscription contracts, while the second market includes more project implementation fees that compress margins during delivery phases.</w:t>
      </w:r>
    </w:p>
    <w:p>
      <w:pPr>
        <w:spacing w:after="120"/>
      </w:pPr>
      <w:r>
        <w:rPr>
          <w:rFonts w:ascii="Georgia" w:hAnsi="Georgia"/>
          <w:i w:val="0"/>
          <w:color w:val="111827"/>
          <w:sz w:val="22"/>
        </w:rPr>
        <w:t>The first market added three new clients in Q1 2025, all on multi-year subscription terms. These contracts include initial implementation fees captured in Q1 billings, with recurring revenue flowing into subsequent quarters. The second market's client additions and churn are not quantified in available data, creating an asymmetric view of portfolio momentum across geographies. [4], [1]</w:t>
      </w:r>
    </w:p>
    <w:p>
      <w:pPr>
        <w:spacing w:before="280" w:after="120"/>
      </w:pPr>
      <w:r>
        <w:rPr>
          <w:rFonts w:ascii="Calibri" w:hAnsi="Calibri"/>
          <w:b/>
          <w:color w:val="0A1F44"/>
          <w:sz w:val="28"/>
        </w:rPr>
        <w:t>Sector Concentration and Regulatory Context</w:t>
      </w:r>
    </w:p>
    <w:p>
      <w:pPr>
        <w:spacing w:after="120"/>
      </w:pPr>
      <w:r>
        <w:rPr>
          <w:rFonts w:ascii="Georgia" w:hAnsi="Georgia"/>
          <w:i w:val="0"/>
          <w:color w:val="111827"/>
          <w:sz w:val="22"/>
        </w:rPr>
        <w:t>Banking and insurance clients represent 68% of Q1 2025 revenue, underscoring the company's positioning in sectors that generate high-volume transactional data and face stringent compliance requirements. This concentration aligns with Lemasy's founding thesis: African financial institutions require AI infrastructure trained on local data and calibrated to regional regulatory frameworks, gaps that international vendors and local technology firms have not addressed.</w:t>
      </w:r>
    </w:p>
    <w:p>
      <w:pPr>
        <w:spacing w:after="120"/>
      </w:pPr>
      <w:r>
        <w:rPr>
          <w:rFonts w:ascii="Georgia" w:hAnsi="Georgia"/>
          <w:i w:val="0"/>
          <w:color w:val="111827"/>
          <w:sz w:val="22"/>
        </w:rPr>
        <w:t>The dual-sector concentration presents both tailwind and risk. Increasing regulatory scrutiny in both operating markets drives compliance-related demand for the company's platforms. Simultaneously, this scrutiny creates implementation friction when client data governance processes are immature, extending deployment cycles and compressing project margins. The telecom and fintech sectors, also part of the company's target market, contributed the remaining 32% of revenue, though specific performance metrics for these verticals are not disaggregated in Q1 reporting. [6], [3]</w:t>
      </w:r>
    </w:p>
    <w:p>
      <w:pPr>
        <w:spacing w:before="280" w:after="120"/>
      </w:pPr>
      <w:r>
        <w:rPr>
          <w:rFonts w:ascii="Calibri" w:hAnsi="Calibri"/>
          <w:b/>
          <w:color w:val="0A1F44"/>
          <w:sz w:val="28"/>
        </w:rPr>
        <w:t>Client Portfolio Health</w:t>
      </w:r>
    </w:p>
    <w:p>
      <w:pPr>
        <w:spacing w:after="120"/>
      </w:pPr>
      <w:r>
        <w:rPr>
          <w:rFonts w:ascii="Georgia" w:hAnsi="Georgia"/>
          <w:i w:val="0"/>
          <w:color w:val="111827"/>
          <w:sz w:val="22"/>
        </w:rPr>
        <w:t>One insurance client relationship has been flagged for management attention due to immature data governance processes. This client's operational readiness gaps are creating friction in platform implementation, indicating a mismatch between the client's internal capabilities and the technical prerequisites for successful deployment. The situation illustrates a broader risk: revenue concentration in highly regulated sectors assumes clients possess sufficient data infrastructure maturity to operationalize AI platforms within compliance timeframes.</w:t>
      </w:r>
    </w:p>
    <w:p>
      <w:pPr>
        <w:spacing w:after="120"/>
      </w:pPr>
      <w:r>
        <w:rPr>
          <w:rFonts w:ascii="Georgia" w:hAnsi="Georgia"/>
          <w:i w:val="0"/>
          <w:color w:val="111827"/>
          <w:sz w:val="22"/>
        </w:rPr>
        <w:t>The client health scorecard framework referenced in portfolio documentation suggests structured monitoring exists across the customer base, though Q1 reporting does not disclose how many clients fall into watch or intervention categories beyond this single case. The absence of client-level revenue attribution in available data prevents assessment of whether at-risk relationships represent material revenue concentration or marginal accounts. [6]</w:t>
      </w:r>
    </w:p>
    <w:p>
      <w:pPr>
        <w:spacing w:before="160" w:after="160"/>
        <w:ind w:left="720" w:right="720"/>
      </w:pPr>
      <w:r>
        <w:rPr>
          <w:rFonts w:ascii="Georgia" w:hAnsi="Georgia"/>
          <w:i/>
          <w:color w:val="0A1F44"/>
          <w:sz w:val="26"/>
        </w:rPr>
        <w:t>“Data governance immaturity is creating friction in implementation, highlighting the gap between client regulatory obligations and operational readiness.”</w:t>
      </w:r>
    </w:p>
    <w:p>
      <w:pPr>
        <w:spacing w:before="280" w:after="120"/>
      </w:pPr>
      <w:r>
        <w:rPr>
          <w:rFonts w:ascii="Calibri" w:hAnsi="Calibri"/>
          <w:b/>
          <w:color w:val="0A1F44"/>
          <w:sz w:val="28"/>
        </w:rPr>
        <w:t>Revenue Sustainability and Recurring Base Expansion</w:t>
      </w:r>
    </w:p>
    <w:p>
      <w:pPr>
        <w:spacing w:after="120"/>
      </w:pPr>
      <w:r>
        <w:rPr>
          <w:rFonts w:ascii="Georgia" w:hAnsi="Georgia"/>
          <w:i w:val="0"/>
          <w:color w:val="111827"/>
          <w:sz w:val="22"/>
        </w:rPr>
        <w:t>Board discussion in Q1 centered on whether the first market's revenue growth represented sustainable momentum or one-time contract signing effects. Management confirmed that all three new first-market clients signed multi-year subscription contracts, with Q1 billings capturing only a portion of total contract value through implementation fees. The recurring subscription revenue from these clients will flow into future quarters, supporting Annual Recurring Revenue base expansion.</w:t>
      </w:r>
    </w:p>
    <w:p>
      <w:pPr>
        <w:spacing w:after="120"/>
      </w:pPr>
      <w:r>
        <w:rPr>
          <w:rFonts w:ascii="Georgia" w:hAnsi="Georgia"/>
          <w:i w:val="0"/>
          <w:color w:val="111827"/>
          <w:sz w:val="22"/>
        </w:rPr>
        <w:t>The company crossed the USD 2M quarterly billing threshold for the first time in Q1 2025, with total billings 18.9% above internal plan and 34.6% above the prior year quarter. This performance validates the shift toward recurring revenue models in the first market, though sustainability depends on maintaining client health across the portfolio and converting the second market's implementation-heavy contracts into recurring streams as clients move from deployment to operational phases. [4], [1]</w:t>
      </w:r>
    </w:p>
    <w:p>
      <w:pPr>
        <w:spacing w:before="280" w:after="120"/>
      </w:pPr>
      <w:r>
        <w:rPr>
          <w:rFonts w:ascii="Calibri" w:hAnsi="Calibri"/>
          <w:b/>
          <w:color w:val="0A1F44"/>
          <w:sz w:val="28"/>
        </w:rPr>
        <w:t>Data Gaps and Portfolio Visibility Constraints</w:t>
      </w:r>
    </w:p>
    <w:p>
      <w:pPr>
        <w:spacing w:after="120"/>
      </w:pPr>
      <w:r>
        <w:rPr>
          <w:rFonts w:ascii="Georgia" w:hAnsi="Georgia"/>
          <w:i w:val="0"/>
          <w:color w:val="111827"/>
          <w:sz w:val="22"/>
        </w:rPr>
        <w:t>Available Q1 reporting does not include client-level revenue attribution, preventing granular assessment of how individual clients performed or which accounts drive the 68% banking and insurance sector concentration. Client count by market and sector is similarly absent, making it impossible to calculate average revenue per client or assess concentration risk. The three new first-market clients represent known additions, but second-market client dynamics—additions, churn, expansion, or contraction—are not documented in accessible materials.</w:t>
      </w:r>
    </w:p>
    <w:p>
      <w:pPr>
        <w:spacing w:after="120"/>
      </w:pPr>
      <w:r>
        <w:rPr>
          <w:rFonts w:ascii="Georgia" w:hAnsi="Georgia"/>
          <w:i w:val="0"/>
          <w:color w:val="111827"/>
          <w:sz w:val="22"/>
        </w:rPr>
        <w:t>The revenue-by-sector disclosure aggregates banking and insurance into a single 68% figure without separating the two verticals, obscuring whether one sector dominates or both contribute equally. Telecom and fintech revenue contribution totals 32% by elimination, but no breakdown between these two sectors exists. These gaps limit the ability to assess sector-specific performance trends, client health correlations with revenue outcomes, or geographic-sector interaction effects that may explain margin differentials. [6], [4], [1]</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lemasy-q1-2025-market-position-and-operating-performance.docx</w:t>
      </w:r>
    </w:p>
    <w:p>
      <w:pPr>
        <w:spacing w:after="60"/>
      </w:pPr>
      <w:r>
        <w:rPr>
          <w:rFonts w:ascii="Calibri" w:hAnsi="Calibri"/>
          <w:b/>
          <w:color w:val="8B2E2B"/>
          <w:sz w:val="20"/>
        </w:rPr>
        <w:t xml:space="preserve">[2]  </w:t>
      </w:r>
      <w:r>
        <w:rPr>
          <w:rFonts w:ascii="Georgia" w:hAnsi="Georgia"/>
          <w:color w:val="111827"/>
          <w:sz w:val="20"/>
        </w:rPr>
        <w:t>q1-2025-product-market-position.docx</w:t>
      </w:r>
    </w:p>
    <w:p>
      <w:pPr>
        <w:spacing w:after="60"/>
      </w:pPr>
      <w:r>
        <w:rPr>
          <w:rFonts w:ascii="Calibri" w:hAnsi="Calibri"/>
          <w:b/>
          <w:color w:val="8B2E2B"/>
          <w:sz w:val="20"/>
        </w:rPr>
        <w:t xml:space="preserve">[3]  </w:t>
      </w:r>
      <w:r>
        <w:rPr>
          <w:rFonts w:ascii="Georgia" w:hAnsi="Georgia"/>
          <w:color w:val="111827"/>
          <w:sz w:val="20"/>
        </w:rPr>
        <w:t>lemasy_strategic_report_fy2025_2027</w:t>
      </w:r>
    </w:p>
    <w:p>
      <w:pPr>
        <w:spacing w:after="60"/>
      </w:pPr>
      <w:r>
        <w:rPr>
          <w:rFonts w:ascii="Calibri" w:hAnsi="Calibri"/>
          <w:b/>
          <w:color w:val="8B2E2B"/>
          <w:sz w:val="20"/>
        </w:rPr>
        <w:t xml:space="preserve">[4]  </w:t>
      </w:r>
      <w:r>
        <w:rPr>
          <w:rFonts w:ascii="Georgia" w:hAnsi="Georgia"/>
          <w:color w:val="111827"/>
          <w:sz w:val="20"/>
        </w:rPr>
        <w:t>lemasy_minutes_q1_2025</w:t>
      </w:r>
    </w:p>
    <w:p>
      <w:pPr>
        <w:spacing w:after="60"/>
      </w:pPr>
      <w:r>
        <w:rPr>
          <w:rFonts w:ascii="Calibri" w:hAnsi="Calibri"/>
          <w:b/>
          <w:color w:val="8B2E2B"/>
          <w:sz w:val="20"/>
        </w:rPr>
        <w:t xml:space="preserve">[5]  </w:t>
      </w:r>
      <w:r>
        <w:rPr>
          <w:rFonts w:ascii="Georgia" w:hAnsi="Georgia"/>
          <w:color w:val="111827"/>
          <w:sz w:val="20"/>
        </w:rPr>
        <w:t>lemasy_ceo_performance_contract_fy2025</w:t>
      </w:r>
    </w:p>
    <w:p>
      <w:pPr>
        <w:spacing w:after="60"/>
      </w:pPr>
      <w:r>
        <w:rPr>
          <w:rFonts w:ascii="Calibri" w:hAnsi="Calibri"/>
          <w:b/>
          <w:color w:val="8B2E2B"/>
          <w:sz w:val="20"/>
        </w:rPr>
        <w:t xml:space="preserve">[6]  </w:t>
      </w:r>
      <w:r>
        <w:rPr>
          <w:rFonts w:ascii="Georgia" w:hAnsi="Georgia"/>
          <w:color w:val="111827"/>
          <w:sz w:val="20"/>
        </w:rPr>
        <w:t>lemasy_customer_report_q1_2025</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Diagnostic option-A repro: Direct-stream failover verification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