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Lemasy Markets and Client Performance Analysis</w:t>
      </w:r>
    </w:p>
    <w:p>
      <w:r>
        <w:rPr>
          <w:rFonts w:ascii="Georgia" w:hAnsi="Georgia"/>
          <w:i/>
          <w:color w:val="4B5563"/>
          <w:sz w:val="30"/>
        </w:rPr>
        <w:t>Q1 2025 Revenue Distribution, Geographic Margins, and Portfolio Health Across African Financial Services</w:t>
      </w:r>
    </w:p>
    <w:p>
      <w:pPr>
        <w:spacing w:before="400"/>
      </w:pPr>
      <w:r>
        <w:rPr>
          <w:rFonts w:ascii="Calibri" w:hAnsi="Calibri"/>
          <w:color w:val="4B5563"/>
          <w:sz w:val="20"/>
        </w:rPr>
        <w:t>Prepared for Diagnostic option-A repro: Direct-stream failover verification  ·  Q1 2025 (January–March 2025)  ·  09 May 2026 · 19:17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Lemasy recorded USD 2.14M in Q1 2025 billings, marking its first quarter above USD 2M and delivering 34.6% year-on-year growth while beating internal plan by 18.9%. The company operates across two primary African markets with distinct performance characteristics: its first market achieved a 68.4% margin contribution. Complete market-level revenue allocation remains incomplete in available documentation, though both markets show active client engagement. The quarter's performance represents an inflection point rather than incremental progress, as the USD 2M threshold was crossed for the first time. Annual Recurring Revenue expanded during the period, though quantum and client portfolio composition data are not specified in source materials. Competitive positioning centres on African financial data domain expertise, implementation speed, and price-to-performance advantages relative to global vendors.</w:t>
      </w:r>
    </w:p>
    <w:p>
      <w:r>
        <w:br w:type="page"/>
      </w:r>
    </w:p>
    <w:p>
      <w:pPr>
        <w:spacing w:before="400" w:after="120"/>
      </w:pPr>
      <w:r>
        <w:rPr>
          <w:rFonts w:ascii="Calibri" w:hAnsi="Calibri"/>
          <w:b/>
          <w:color w:val="0A1F44"/>
          <w:sz w:val="40"/>
        </w:rPr>
        <w:t>Index</w:t>
      </w:r>
    </w:p>
    <w:p>
      <w:r>
        <w:rPr>
          <w:rFonts w:ascii="Calibri" w:hAnsi="Calibri"/>
          <w:color w:val="111827"/>
          <w:sz w:val="22"/>
        </w:rPr>
        <w:t>01.  Revenue Performance and Growth Trajectory</w:t>
      </w:r>
    </w:p>
    <w:p>
      <w:r>
        <w:rPr>
          <w:rFonts w:ascii="Calibri" w:hAnsi="Calibri"/>
          <w:color w:val="111827"/>
          <w:sz w:val="22"/>
        </w:rPr>
        <w:t>02.  Two-Market Operating Structure</w:t>
      </w:r>
    </w:p>
    <w:p>
      <w:r>
        <w:rPr>
          <w:rFonts w:ascii="Calibri" w:hAnsi="Calibri"/>
          <w:color w:val="111827"/>
          <w:sz w:val="22"/>
        </w:rPr>
        <w:t>03.  Client Portfolio and Competitive Positioning</w:t>
      </w:r>
    </w:p>
    <w:p>
      <w:r>
        <w:rPr>
          <w:rFonts w:ascii="Calibri" w:hAnsi="Calibri"/>
          <w:color w:val="111827"/>
          <w:sz w:val="22"/>
        </w:rPr>
        <w:t>04.  Operating Delivery and Scalability Considerations</w:t>
      </w:r>
    </w:p>
    <w:p>
      <w:r>
        <w:rPr>
          <w:rFonts w:ascii="Calibri" w:hAnsi="Calibri"/>
          <w:color w:val="111827"/>
          <w:sz w:val="22"/>
        </w:rPr>
        <w:t>05.  Strategic Implications and Visibility Gaps</w:t>
      </w:r>
    </w:p>
    <w:p>
      <w:r>
        <w:br w:type="page"/>
      </w:r>
    </w:p>
    <w:p>
      <w:pPr>
        <w:spacing w:before="400" w:after="120"/>
      </w:pPr>
      <w:r>
        <w:rPr>
          <w:rFonts w:ascii="Calibri" w:hAnsi="Calibri"/>
          <w:b/>
          <w:color w:val="0A1F44"/>
          <w:sz w:val="40"/>
        </w:rPr>
        <w:t>Revenue Performance and Growth Trajectory</w:t>
      </w:r>
    </w:p>
    <w:p>
      <w:pPr>
        <w:spacing w:after="120"/>
      </w:pPr>
      <w:r>
        <w:rPr>
          <w:rFonts w:ascii="Georgia" w:hAnsi="Georgia"/>
          <w:i/>
          <w:color w:val="4B5563"/>
          <w:sz w:val="22"/>
        </w:rPr>
        <w:t>First USD 2M Quarter Signals Inflection Point</w:t>
      </w:r>
    </w:p>
    <w:p>
      <w:pPr>
        <w:spacing w:after="120"/>
      </w:pPr>
      <w:r>
        <w:rPr>
          <w:rFonts w:ascii="Georgia" w:hAnsi="Georgia"/>
          <w:i w:val="0"/>
          <w:color w:val="111827"/>
          <w:sz w:val="22"/>
        </w:rPr>
        <w:t>Lemasy achieved USD 2.14M in billings during Q1 2025, crossing the USD 2M quarterly threshold for the first time in company history. This represents 34.6% growth over the prior year quarter and an 18.9% beat against internal plan. The magnitude of the plan variance suggests demand is outpacing internal forecasting, not simply meeting expectations with buffer.</w:t>
      </w:r>
    </w:p>
    <w:p>
      <w:pPr>
        <w:spacing w:after="120"/>
      </w:pPr>
      <w:r>
        <w:rPr>
          <w:rFonts w:ascii="Georgia" w:hAnsi="Georgia"/>
          <w:i w:val="0"/>
          <w:color w:val="111827"/>
          <w:sz w:val="22"/>
        </w:rPr>
        <w:t>The company expanded its Annual Recurring Revenue base during the quarter, though specific ARR quantum and the split between recurring revenue, professional services, and one-time engagements are not quantified in source documentation. The Q1 result establishes an annual run-rate exceeding USD 8M, assuming consistent quarterly performance.</w:t>
      </w:r>
    </w:p>
    <w:p>
      <w:pPr>
        <w:spacing w:after="120"/>
      </w:pPr>
      <w:r>
        <w:rPr>
          <w:rFonts w:ascii="Georgia" w:hAnsi="Georgia"/>
          <w:i w:val="0"/>
          <w:color w:val="111827"/>
          <w:sz w:val="22"/>
        </w:rPr>
        <w:t>Year-on-year growth of 34.6% while maintaining profitability indicates the company is scaling without sacrificing unit economics, though absolute base size means vulnerability to single-client impact remains material. The first USD 2M quarter represents a structural milestone that typically precedes operational complexity increases in delivery, support, and account management infrastructure. [1], [2], [3]</w:t>
      </w:r>
    </w:p>
    <w:p/>
    <w:p>
      <w:pPr>
        <w:spacing w:before="400" w:after="120"/>
      </w:pPr>
      <w:r>
        <w:rPr>
          <w:rFonts w:ascii="Calibri" w:hAnsi="Calibri"/>
          <w:b/>
          <w:color w:val="0A1F44"/>
          <w:sz w:val="40"/>
        </w:rPr>
        <w:t>Two-Market Operating Structure</w:t>
      </w:r>
    </w:p>
    <w:p>
      <w:pPr>
        <w:spacing w:after="120"/>
      </w:pPr>
      <w:r>
        <w:rPr>
          <w:rFonts w:ascii="Georgia" w:hAnsi="Georgia"/>
          <w:i/>
          <w:color w:val="4B5563"/>
          <w:sz w:val="22"/>
        </w:rPr>
        <w:t>Distinct Performance Profiles with Incomplete Allocation Data</w:t>
      </w:r>
    </w:p>
    <w:p>
      <w:pPr>
        <w:spacing w:after="120"/>
      </w:pPr>
      <w:r>
        <w:rPr>
          <w:rFonts w:ascii="Georgia" w:hAnsi="Georgia"/>
          <w:i w:val="0"/>
          <w:color w:val="111827"/>
          <w:sz w:val="22"/>
        </w:rPr>
        <w:t>Lemasy operates across two primary African markets, each exhibiting distinct performance characteristics. The first market delivered a 68.4% margin contribution during Q1 2025, demonstrating strong unit economics in at least one geographic or sectoral concentration. The second market's quantitative contribution remains unspecified in available materials.</w:t>
      </w:r>
    </w:p>
    <w:p>
      <w:pPr>
        <w:spacing w:after="120"/>
      </w:pPr>
      <w:r>
        <w:rPr>
          <w:rFonts w:ascii="Georgia" w:hAnsi="Georgia"/>
          <w:i w:val="0"/>
          <w:color w:val="111827"/>
          <w:sz w:val="22"/>
        </w:rPr>
        <w:t>The absence of complete market-level revenue breakdown presents a structural gap in portfolio health assessment. If the second market contributes less than 20% of total revenue, it functions as a pilot rather than true diversification. If it exceeds 40% but operates at negative margins, it acts as a drag on consolidated performance. The 'distinct performance characteristics' notation suggests material divergence between markets, though direction and magnitude are undocumented.</w:t>
      </w:r>
    </w:p>
    <w:p>
      <w:pPr>
        <w:spacing w:after="120"/>
      </w:pPr>
      <w:r>
        <w:rPr>
          <w:rFonts w:ascii="Georgia" w:hAnsi="Georgia"/>
          <w:i w:val="0"/>
          <w:color w:val="111827"/>
          <w:sz w:val="22"/>
        </w:rPr>
        <w:t>Market definitions themselves lack clarity in source materials—whether segmentation is geographic (country-level), sectoral (banks versus insurers), or client-size-based (enterprise versus mid-market) is not specified. This ambiguity complicates assessment of true diversification versus nominal segmentation of a concentrated client base within a single region. [1], [2]</w:t>
      </w:r>
    </w:p>
    <w:p/>
    <w:p>
      <w:pPr>
        <w:spacing w:before="400" w:after="120"/>
      </w:pPr>
      <w:r>
        <w:rPr>
          <w:rFonts w:ascii="Calibri" w:hAnsi="Calibri"/>
          <w:b/>
          <w:color w:val="0A1F44"/>
          <w:sz w:val="40"/>
        </w:rPr>
        <w:t>Client Portfolio and Competitive Positioning</w:t>
      </w:r>
    </w:p>
    <w:p>
      <w:pPr>
        <w:spacing w:after="120"/>
      </w:pPr>
      <w:r>
        <w:rPr>
          <w:rFonts w:ascii="Georgia" w:hAnsi="Georgia"/>
          <w:i/>
          <w:color w:val="4B5563"/>
          <w:sz w:val="22"/>
        </w:rPr>
        <w:t>Enterprise Deal Capability Demonstrated, Concentration Risk Unquantified</w:t>
      </w:r>
    </w:p>
    <w:p>
      <w:pPr>
        <w:spacing w:after="120"/>
      </w:pPr>
      <w:r>
        <w:rPr>
          <w:rFonts w:ascii="Georgia" w:hAnsi="Georgia"/>
          <w:i w:val="0"/>
          <w:color w:val="111827"/>
          <w:sz w:val="22"/>
        </w:rPr>
        <w:t>Board-level discussion in Q1 2025 focused on commercial engagement with a named financial institution, indicating that enterprise-scale opportunities command executive attention. The client in question is evaluating Lemasy alongside two global vendors and one additional African technology firm in a comparative procurement process.</w:t>
      </w:r>
    </w:p>
    <w:p>
      <w:pPr>
        <w:spacing w:after="120"/>
      </w:pPr>
      <w:r>
        <w:rPr>
          <w:rFonts w:ascii="Georgia" w:hAnsi="Georgia"/>
          <w:i w:val="0"/>
          <w:color w:val="111827"/>
          <w:sz w:val="22"/>
        </w:rPr>
        <w:t>Lemasy's competitive advantages in this engagement are articulated as: (i) superior African financial data domain expertise relative to general-purpose international platforms, (ii) faster implementation timelines than global vendors typically deliver, and (iii) better price-to-performance ratios given the target client's budget constraints. These advantages are credible for initial sales cycles but face durability questions as global vendors acquire local datasets and African client budgets scale.</w:t>
      </w:r>
    </w:p>
    <w:p>
      <w:pPr>
        <w:spacing w:after="120"/>
      </w:pPr>
      <w:r>
        <w:rPr>
          <w:rFonts w:ascii="Georgia" w:hAnsi="Georgia"/>
          <w:i w:val="0"/>
          <w:color w:val="111827"/>
          <w:sz w:val="22"/>
        </w:rPr>
        <w:t>Client portfolio composition remains undocumented—source materials provide no metrics on total client count, revenue concentration by top five clients, or distribution between new logos and existing account expansion. If Q1's 18.9% plan beat derived from one or two large upsells, volatility risk is elevated. If distributed across ten or more clients with no single relationship exceeding 15% of revenue, the foundation is more durable. Board minutes reference a single high-value opportunity without contextualizing it within overall pipeline coverage or portfolio health.</w:t>
      </w:r>
    </w:p>
    <w:p>
      <w:pPr>
        <w:spacing w:after="120"/>
      </w:pPr>
      <w:r>
        <w:rPr>
          <w:rFonts w:ascii="Georgia" w:hAnsi="Georgia"/>
          <w:i w:val="0"/>
          <w:color w:val="111827"/>
          <w:sz w:val="22"/>
        </w:rPr>
        <w:t>The company's mission explicitly targets African financial institutions—banks, insurers, telecoms, and fintechs—requiring AI infrastructure trained on local transactional and behavioural data. This positioning addresses a genuine market gap where international vendors lack regulatory understanding and local pricing, while African technology firms lack the AI domain expertise. The Q1 competitive engagement validates that this value proposition resonates at the enterprise procurement level. [5], [6]</w:t>
      </w:r>
    </w:p>
    <w:p>
      <w:pPr>
        <w:spacing w:before="160" w:after="160"/>
        <w:ind w:left="720" w:right="720"/>
      </w:pPr>
      <w:r>
        <w:rPr>
          <w:rFonts w:ascii="Georgia" w:hAnsi="Georgia"/>
          <w:i/>
          <w:color w:val="0A1F44"/>
          <w:sz w:val="26"/>
        </w:rPr>
        <w:t>“Lemasy's competitive positioning centres on African financial data domain expertise, implementation speed, and price-to-performance—advantages credible for initial sales but facing durability questions as global vendors acquire local capabilities.”</w:t>
      </w:r>
    </w:p>
    <w:p/>
    <w:p>
      <w:pPr>
        <w:spacing w:before="400" w:after="120"/>
      </w:pPr>
      <w:r>
        <w:rPr>
          <w:rFonts w:ascii="Calibri" w:hAnsi="Calibri"/>
          <w:b/>
          <w:color w:val="0A1F44"/>
          <w:sz w:val="40"/>
        </w:rPr>
        <w:t>Operating Delivery and Scalability Considerations</w:t>
      </w:r>
    </w:p>
    <w:p>
      <w:pPr>
        <w:spacing w:after="120"/>
      </w:pPr>
      <w:r>
        <w:rPr>
          <w:rFonts w:ascii="Georgia" w:hAnsi="Georgia"/>
          <w:i/>
          <w:color w:val="4B5563"/>
          <w:sz w:val="22"/>
        </w:rPr>
        <w:t>Growth Rate Preceding Infrastructure Visibility</w:t>
      </w:r>
    </w:p>
    <w:p>
      <w:pPr>
        <w:spacing w:after="120"/>
      </w:pPr>
      <w:r>
        <w:rPr>
          <w:rFonts w:ascii="Georgia" w:hAnsi="Georgia"/>
          <w:i w:val="0"/>
          <w:color w:val="111827"/>
          <w:sz w:val="22"/>
        </w:rPr>
        <w:t>Technical delivery was referenced in Q1 materials without accompanying quality, timeliness, or customer satisfaction metrics. The 34.6% year-on-year growth rate raises the standard question for any scaling technology firm: can delivery infrastructure expand at the same pace as revenue without degrading service quality or requiring disproportionate cost increases?</w:t>
      </w:r>
    </w:p>
    <w:p>
      <w:pPr>
        <w:spacing w:after="120"/>
      </w:pPr>
      <w:r>
        <w:rPr>
          <w:rFonts w:ascii="Georgia" w:hAnsi="Georgia"/>
          <w:i w:val="0"/>
          <w:color w:val="111827"/>
          <w:sz w:val="22"/>
        </w:rPr>
        <w:t>The 18.9% beat versus plan suggests the company underestimated its own near-term capacity, not that it is straining to meet commitments. However, crossing the USD 2M quarterly threshold typically triggers operational complexity increases—more simultaneous client implementations, higher support ticket volumes, greater account management coordination—that are not yet visible in Q1 documentation.</w:t>
      </w:r>
    </w:p>
    <w:p>
      <w:pPr>
        <w:spacing w:after="120"/>
      </w:pPr>
      <w:r>
        <w:rPr>
          <w:rFonts w:ascii="Georgia" w:hAnsi="Georgia"/>
          <w:i w:val="0"/>
          <w:color w:val="111827"/>
          <w:sz w:val="22"/>
        </w:rPr>
        <w:t>The absence of forward pipeline quantification or coverage ratio metrics means Q2–Q4 trajectory remains uncertain. If the plan beat resulted from pull-forward of revenue originally forecasted for Q2, subsequent quarters may show digestion. If it represents net-new demand expansion, the growth rate could sustain or accelerate. Source materials do not provide the client acquisition or expansion pipeline data required to distinguish between these scenarios. [3]</w:t>
      </w:r>
    </w:p>
    <w:p/>
    <w:p>
      <w:pPr>
        <w:spacing w:before="400" w:after="120"/>
      </w:pPr>
      <w:r>
        <w:rPr>
          <w:rFonts w:ascii="Calibri" w:hAnsi="Calibri"/>
          <w:b/>
          <w:color w:val="0A1F44"/>
          <w:sz w:val="40"/>
        </w:rPr>
        <w:t>Strategic Implications and Visibility Gaps</w:t>
      </w:r>
    </w:p>
    <w:p>
      <w:pPr>
        <w:spacing w:after="120"/>
      </w:pPr>
      <w:r>
        <w:rPr>
          <w:rFonts w:ascii="Georgia" w:hAnsi="Georgia"/>
          <w:i w:val="0"/>
          <w:color w:val="111827"/>
          <w:sz w:val="22"/>
        </w:rPr>
        <w:t>Q1 2025 performance validates Lemasy's product-market fit within African financial services AI, but leaves critical strategic questions unanswered. The two-market structure is confirmed but not quantified, making it impossible to assess whether geographic diversification is real or nominal. Client concentration is implied by board-level focus on individual opportunities but not measured through portfolio composition data.</w:t>
      </w:r>
    </w:p>
    <w:p>
      <w:pPr>
        <w:spacing w:after="120"/>
      </w:pPr>
      <w:r>
        <w:rPr>
          <w:rFonts w:ascii="Georgia" w:hAnsi="Georgia"/>
          <w:i w:val="0"/>
          <w:color w:val="111827"/>
          <w:sz w:val="22"/>
        </w:rPr>
        <w:t>The company's ability to compete against global vendors in named enterprise procurements demonstrates credibility, but the durability of its competitive advantages depends on barriers to entry that are not static. Global vendors can acquire African datasets, and African competitors can build AI expertise. The 18-to-24-month window before these advantages erode is not documented but is typical for similar market dynamics.</w:t>
      </w:r>
    </w:p>
    <w:p>
      <w:pPr>
        <w:spacing w:after="120"/>
      </w:pPr>
      <w:r>
        <w:rPr>
          <w:rFonts w:ascii="Georgia" w:hAnsi="Georgia"/>
          <w:i w:val="0"/>
          <w:color w:val="111827"/>
          <w:sz w:val="22"/>
        </w:rPr>
        <w:t>The most consequential missing data point is market-level profitability. If the first market's 68.4% margin carries the business while the second market invests at a loss, consolidated growth could mask unsustainable unit economics in expansion geographies. If both markets operate profitably at comparable margins, the growth trajectory is far more defensible. Without this breakdown, strategic health assessment remains incomplete. [1], [2], [5], [6]</w:t>
      </w:r>
    </w:p>
    <w:p/>
    <w:p>
      <w:r>
        <w:br w:type="page"/>
      </w:r>
    </w:p>
    <w:p>
      <w:pPr>
        <w:spacing w:before="400" w:after="120"/>
      </w:pPr>
      <w:r>
        <w:rPr>
          <w:rFonts w:ascii="Calibri" w:hAnsi="Calibri"/>
          <w:b/>
          <w:color w:val="0A1F44"/>
          <w:sz w:val="40"/>
        </w:rPr>
        <w:t>Recommendations</w:t>
      </w:r>
    </w:p>
    <w:p>
      <w:pPr>
        <w:spacing w:after="80"/>
      </w:pPr>
      <w:r>
        <w:rPr>
          <w:rFonts w:ascii="Calibri" w:hAnsi="Calibri"/>
          <w:b/>
          <w:color w:val="8B2E2B"/>
          <w:sz w:val="22"/>
        </w:rPr>
        <w:t xml:space="preserve">1.  </w:t>
      </w:r>
      <w:r>
        <w:rPr>
          <w:rFonts w:ascii="Georgia" w:hAnsi="Georgia"/>
          <w:color w:val="111827"/>
          <w:sz w:val="22"/>
        </w:rPr>
        <w:t>Publish market-level revenue allocation and EBITDA contribution to clarify whether two-market structure represents genuine diversification or experimental second theater.</w:t>
      </w:r>
    </w:p>
    <w:p>
      <w:pPr>
        <w:spacing w:after="80"/>
      </w:pPr>
      <w:r>
        <w:rPr>
          <w:rFonts w:ascii="Calibri" w:hAnsi="Calibri"/>
          <w:b/>
          <w:color w:val="8B2E2B"/>
          <w:sz w:val="22"/>
        </w:rPr>
        <w:t xml:space="preserve">2.  </w:t>
      </w:r>
      <w:r>
        <w:rPr>
          <w:rFonts w:ascii="Georgia" w:hAnsi="Georgia"/>
          <w:color w:val="111827"/>
          <w:sz w:val="22"/>
        </w:rPr>
        <w:t>Quantify client portfolio composition—total active clients, top-five revenue concentration, new logo versus expansion revenue split—to assess vulnerability to single-client churn.</w:t>
      </w:r>
    </w:p>
    <w:p>
      <w:pPr>
        <w:spacing w:after="80"/>
      </w:pPr>
      <w:r>
        <w:rPr>
          <w:rFonts w:ascii="Calibri" w:hAnsi="Calibri"/>
          <w:b/>
          <w:color w:val="8B2E2B"/>
          <w:sz w:val="22"/>
        </w:rPr>
        <w:t xml:space="preserve">3.  </w:t>
      </w:r>
      <w:r>
        <w:rPr>
          <w:rFonts w:ascii="Georgia" w:hAnsi="Georgia"/>
          <w:color w:val="111827"/>
          <w:sz w:val="22"/>
        </w:rPr>
        <w:t>Establish forward pipeline coverage metrics and booking-to-revenue conversion rates to distinguish between sustainable momentum and one-time quarterly strength.</w:t>
      </w:r>
    </w:p>
    <w:p>
      <w:pPr>
        <w:spacing w:after="80"/>
      </w:pPr>
      <w:r>
        <w:rPr>
          <w:rFonts w:ascii="Calibri" w:hAnsi="Calibri"/>
          <w:b/>
          <w:color w:val="8B2E2B"/>
          <w:sz w:val="22"/>
        </w:rPr>
        <w:t xml:space="preserve">4.  </w:t>
      </w:r>
      <w:r>
        <w:rPr>
          <w:rFonts w:ascii="Georgia" w:hAnsi="Georgia"/>
          <w:color w:val="111827"/>
          <w:sz w:val="22"/>
        </w:rPr>
        <w:t>Document delivery infrastructure scaling metrics—implementation cycle times, support ticket resolution, customer satisfaction scores—to surface operational constraints before they impact client retention.</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lemasy-markets-and-client-performance-analysis.docx</w:t>
      </w:r>
    </w:p>
    <w:p>
      <w:pPr>
        <w:spacing w:after="60"/>
      </w:pPr>
      <w:r>
        <w:rPr>
          <w:rFonts w:ascii="Calibri" w:hAnsi="Calibri"/>
          <w:b/>
          <w:color w:val="8B2E2B"/>
          <w:sz w:val="20"/>
        </w:rPr>
        <w:t xml:space="preserve">[2]  </w:t>
      </w:r>
      <w:r>
        <w:rPr>
          <w:rFonts w:ascii="Georgia" w:hAnsi="Georgia"/>
          <w:color w:val="111827"/>
          <w:sz w:val="20"/>
        </w:rPr>
        <w:t>lemasy-markets-and-client-performance-analysis.pptx</w:t>
      </w:r>
    </w:p>
    <w:p>
      <w:pPr>
        <w:spacing w:after="60"/>
      </w:pPr>
      <w:r>
        <w:rPr>
          <w:rFonts w:ascii="Calibri" w:hAnsi="Calibri"/>
          <w:b/>
          <w:color w:val="8B2E2B"/>
          <w:sz w:val="20"/>
        </w:rPr>
        <w:t xml:space="preserve">[3]  </w:t>
      </w:r>
      <w:r>
        <w:rPr>
          <w:rFonts w:ascii="Georgia" w:hAnsi="Georgia"/>
          <w:color w:val="111827"/>
          <w:sz w:val="20"/>
        </w:rPr>
        <w:t>lemasy-q1-2025-market-position-and-operating-performance.docx</w:t>
      </w:r>
    </w:p>
    <w:p>
      <w:pPr>
        <w:spacing w:after="60"/>
      </w:pPr>
      <w:r>
        <w:rPr>
          <w:rFonts w:ascii="Calibri" w:hAnsi="Calibri"/>
          <w:b/>
          <w:color w:val="8B2E2B"/>
          <w:sz w:val="20"/>
        </w:rPr>
        <w:t xml:space="preserve">[4]  </w:t>
      </w:r>
      <w:r>
        <w:rPr>
          <w:rFonts w:ascii="Georgia" w:hAnsi="Georgia"/>
          <w:color w:val="111827"/>
          <w:sz w:val="20"/>
        </w:rPr>
        <w:t>q1-2025-product-market-position.docx</w:t>
      </w:r>
    </w:p>
    <w:p>
      <w:pPr>
        <w:spacing w:after="60"/>
      </w:pPr>
      <w:r>
        <w:rPr>
          <w:rFonts w:ascii="Calibri" w:hAnsi="Calibri"/>
          <w:b/>
          <w:color w:val="8B2E2B"/>
          <w:sz w:val="20"/>
        </w:rPr>
        <w:t xml:space="preserve">[5]  </w:t>
      </w:r>
      <w:r>
        <w:rPr>
          <w:rFonts w:ascii="Georgia" w:hAnsi="Georgia"/>
          <w:color w:val="111827"/>
          <w:sz w:val="20"/>
        </w:rPr>
        <w:t>lemasy_strategic_report_fy2025_2027</w:t>
      </w:r>
    </w:p>
    <w:p>
      <w:pPr>
        <w:spacing w:after="60"/>
      </w:pPr>
      <w:r>
        <w:rPr>
          <w:rFonts w:ascii="Calibri" w:hAnsi="Calibri"/>
          <w:b/>
          <w:color w:val="8B2E2B"/>
          <w:sz w:val="20"/>
        </w:rPr>
        <w:t xml:space="preserve">[6]  </w:t>
      </w:r>
      <w:r>
        <w:rPr>
          <w:rFonts w:ascii="Georgia" w:hAnsi="Georgia"/>
          <w:color w:val="111827"/>
          <w:sz w:val="20"/>
        </w:rPr>
        <w:t>lemasy_minutes_q1_2025</w:t>
      </w:r>
    </w:p>
    <w:p>
      <w:pPr>
        <w:spacing w:after="60"/>
      </w:pPr>
      <w:r>
        <w:rPr>
          <w:rFonts w:ascii="Calibri" w:hAnsi="Calibri"/>
          <w:b/>
          <w:color w:val="8B2E2B"/>
          <w:sz w:val="20"/>
        </w:rPr>
        <w:t xml:space="preserve">[7]  </w:t>
      </w:r>
      <w:r>
        <w:rPr>
          <w:rFonts w:ascii="Georgia" w:hAnsi="Georgia"/>
          <w:color w:val="111827"/>
          <w:sz w:val="20"/>
        </w:rPr>
        <w:t>lemasy_ceo_performance_contract_fy2025</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Diagnostic option-A repro: Direct-stream failover verification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