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Regression Test</w:t>
      </w:r>
    </w:p>
    <w:p>
      <w:r>
        <w:rPr>
          <w:rFonts w:ascii="Georgia" w:hAnsi="Georgia"/>
          <w:i/>
          <w:color w:val="4B5563"/>
          <w:sz w:val="30"/>
        </w:rPr>
        <w:t>Quality assurance validation document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2024  ·  26 May 2026 · 11:00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quality assurance test case to validate that committee packs are now recognized as a first-class enhancement artefact type within the AKKI system. The source material contains only metadata and no substantive audit committee content requiring editorial refinement.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Document Purpose</w:t>
      </w:r>
    </w:p>
    <w:p>
      <w:r>
        <w:rPr>
          <w:rFonts w:ascii="Calibri" w:hAnsi="Calibri"/>
          <w:color w:val="111827"/>
          <w:sz w:val="22"/>
        </w:rPr>
        <w:t>02.  Instruction Analysis</w:t>
      </w:r>
    </w:p>
    <w:p>
      <w:r>
        <w:rPr>
          <w:rFonts w:ascii="Calibri" w:hAnsi="Calibri"/>
          <w:color w:val="111827"/>
          <w:sz w:val="22"/>
        </w:rPr>
        <w:t>03.  Test Case Scope</w:t>
      </w:r>
    </w:p>
    <w:p>
      <w:r>
        <w:rPr>
          <w:rFonts w:ascii="Calibri" w:hAnsi="Calibri"/>
          <w:color w:val="111827"/>
          <w:sz w:val="22"/>
        </w:rPr>
        <w:t>04.  Content Gap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Document Purpose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QA Validation — Artefact Type Recognition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artefact is test infrastructure designed to confirm the system correctly routes committee packs through the enhancement pipeline.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audit committee content is present in the source material. The document contains only a title and descriptor totaling approximately 180 characters.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Meaningful editorial tightening requires substantive content: risk assessments, internal control findings, governance recommendations, or compliance statements. None of these elements exist in the provided text.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Instruction Analysis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Enhancement Request — Wording Tightness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instruction requests tightening wording for audit committee materials. This typically involves removing passive constructions, eliminating redundancy, and strengthening directness.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artefact provides no sentences to tighten, no verbose passages to condense, and no recommendations to sharpen.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request cannot be executed against metadata alone. Audit committee packs require actual governance content to apply editorial principles meaningfully.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Test Case Scope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Regression Validation — Enhancement Pathway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QA chunk validates that the system recognizes committee_pack as an enhancement-eligible artefact kind.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test confirms routing mechanics rather than content transformation capability.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Success criteria center on correct classification and processing pathway identification, not on substantive editorial output.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Content Gap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Source Material Limitation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artefact was truncated to 16,000 characters but contains only the title repeated twice.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additional pages, sections, or substantive audit committee content follow the metadata header.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appears to be intentional test design rather than a data transmission error, validating system behavior when instructions meet minimal input.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