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Lemasy Q1 2025 Market Position and Operating Performance</w:t>
      </w:r>
    </w:p>
    <w:p>
      <w:pPr>
        <w:spacing w:after="80"/>
      </w:pPr>
      <w:r>
        <w:rPr>
          <w:rFonts w:ascii="Georgia" w:hAnsi="Georgia"/>
          <w:i/>
          <w:color w:val="4B5563"/>
          <w:sz w:val="28"/>
        </w:rPr>
        <w:t>Revenue Growth, Technical Delivery, and Strategic Pipeline Analysis</w:t>
      </w:r>
    </w:p>
    <w:p>
      <w:pPr>
        <w:spacing w:before="240"/>
      </w:pPr>
      <w:r>
        <w:rPr>
          <w:rFonts w:ascii="Calibri" w:hAnsi="Calibri"/>
          <w:color w:val="4B5563"/>
          <w:sz w:val="20"/>
        </w:rPr>
        <w:t>Prepared for Diagnostic option-A repro: Direct-stream failover verification  ·  Q1 2025 (January–March 2025)  ·  09 May 2026 · 18:24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Lemasy achieved its strongest quarterly performance to date in Q1 2025, recording USD 2.14M in billings—18.9% above plan and 34.6% above the prior year quarter. The company crossed the USD 2M quarterly revenue threshold for the first time and expanded its Annual Recurring Revenue base to include three new enterprise financial services clients. Technical delivery improved materially, with model inference latency reduced 41% from 1,840ms to 1,080ms. The migration to platform version 2.1 reached 73% adoption among active clients within the initial deployment window. The Q2 pipeline contains USD 2.29M in identified opportunities across five priority deals. Operational challenges persist in engineering talent acquisition, with average time-to-fill at the upper end of acceptable ranges and two senior departures to hyperscaler competitors during the quarter.</w:t>
      </w:r>
    </w:p>
    <w:p/>
    <w:p>
      <w:pPr>
        <w:spacing w:before="280" w:after="120"/>
      </w:pPr>
      <w:r>
        <w:rPr>
          <w:rFonts w:ascii="Calibri" w:hAnsi="Calibri"/>
          <w:b/>
          <w:color w:val="0A1F44"/>
          <w:sz w:val="28"/>
        </w:rPr>
        <w:t>Revenue Performance and Client Base Expansion</w:t>
      </w:r>
    </w:p>
    <w:p>
      <w:pPr>
        <w:spacing w:after="120"/>
      </w:pPr>
      <w:r>
        <w:rPr>
          <w:rFonts w:ascii="Georgia" w:hAnsi="Georgia"/>
          <w:i w:val="0"/>
          <w:color w:val="111827"/>
          <w:sz w:val="22"/>
        </w:rPr>
        <w:t>Lemasy generated USD 2.14M in total billings during Q1 2025, exceeding the quarterly plan by 18.9% and representing 34.6% growth compared to the corresponding quarter in the prior year. This marks the first occasion the company has surpassed USD 2M in revenue within a single quarter, establishing a new baseline for commercial performance.</w:t>
      </w:r>
    </w:p>
    <w:p>
      <w:pPr>
        <w:spacing w:after="120"/>
      </w:pPr>
      <w:r>
        <w:rPr>
          <w:rFonts w:ascii="Georgia" w:hAnsi="Georgia"/>
          <w:i w:val="0"/>
          <w:color w:val="111827"/>
          <w:sz w:val="22"/>
        </w:rPr>
        <w:t>The company added three new enterprise subscription clients during the quarter, all operating within the financial services sector. Client concentration remains manageable, with the active client base supporting recurring revenue streams. The Q2 pipeline identifies five priority opportunities with a combined potential value of USD 2.29M, indicating sustained deal flow into the second quarter. [6], [4], [2]</w:t>
      </w:r>
    </w:p>
    <w:p>
      <w:pPr>
        <w:spacing w:before="280" w:after="120"/>
      </w:pPr>
      <w:r>
        <w:rPr>
          <w:rFonts w:ascii="Calibri" w:hAnsi="Calibri"/>
          <w:b/>
          <w:color w:val="0A1F44"/>
          <w:sz w:val="28"/>
        </w:rPr>
        <w:t>Technical Platform Performance and Client Adoption</w:t>
      </w:r>
    </w:p>
    <w:p>
      <w:pPr>
        <w:spacing w:after="120"/>
      </w:pPr>
      <w:r>
        <w:rPr>
          <w:rFonts w:ascii="Georgia" w:hAnsi="Georgia"/>
          <w:i w:val="0"/>
          <w:color w:val="111827"/>
          <w:sz w:val="22"/>
        </w:rPr>
        <w:t>Model inference latency decreased 41% quarter-over-quarter, from a baseline of 1,840ms to an average of 1,080ms. This improvement directly supports real-time applications in fraud screening and transaction monitoring, two use cases that account for a material share of client deployments.</w:t>
      </w:r>
    </w:p>
    <w:p>
      <w:pPr>
        <w:spacing w:after="120"/>
      </w:pPr>
      <w:r>
        <w:rPr>
          <w:rFonts w:ascii="Georgia" w:hAnsi="Georgia"/>
          <w:i w:val="0"/>
          <w:color w:val="111827"/>
          <w:sz w:val="22"/>
        </w:rPr>
        <w:t>Platform version 2.1 achieved 73% adoption within the initial deployment window, with 8 of 11 active clients completing migration. The release incorporated explainability features designed to address regulatory guidance on model transparency, a capability subsequently referenced in two Q1 commercial discussions as a competitive differentiator. Real-time data ingestion now operates via connectors to 14 financial data sources, expanding the platform's ability to process local transaction data. [2], [1]</w:t>
      </w:r>
    </w:p>
    <w:p>
      <w:pPr>
        <w:spacing w:before="280" w:after="120"/>
      </w:pPr>
      <w:r>
        <w:rPr>
          <w:rFonts w:ascii="Calibri" w:hAnsi="Calibri"/>
          <w:b/>
          <w:color w:val="0A1F44"/>
          <w:sz w:val="28"/>
        </w:rPr>
        <w:t>Market Positioning and Competitive Dynamics</w:t>
      </w:r>
    </w:p>
    <w:p>
      <w:pPr>
        <w:spacing w:after="120"/>
      </w:pPr>
      <w:r>
        <w:rPr>
          <w:rFonts w:ascii="Georgia" w:hAnsi="Georgia"/>
          <w:i w:val="0"/>
          <w:color w:val="111827"/>
          <w:sz w:val="22"/>
        </w:rPr>
        <w:t>Lemasy's commercial strategy centres on addressing gaps left by global AI vendors in African markets. International providers typically lack training data specific to local financial systems, do not incorporate regional regulatory requirements, and maintain pricing structures calibrated to multinational enterprise budgets. Local technology firms often lack the specialised infrastructure and domain expertise required for production-grade financial AI applications.</w:t>
      </w:r>
    </w:p>
    <w:p>
      <w:pPr>
        <w:spacing w:after="120"/>
      </w:pPr>
      <w:r>
        <w:rPr>
          <w:rFonts w:ascii="Georgia" w:hAnsi="Georgia"/>
          <w:i w:val="0"/>
          <w:color w:val="111827"/>
          <w:sz w:val="22"/>
        </w:rPr>
        <w:t>The company lost one deal to a global competitor during Q1. Competitive strategy emphasises deeper local market knowledge, faster implementation cycles, and training datasets tuned to African financial transaction patterns. Average deal sizes for global vendors operating in the region run 3–5 times Lemasy's typical contract value, suggesting different market segments and customer profiles. [3], [6]</w:t>
      </w:r>
    </w:p>
    <w:p>
      <w:pPr>
        <w:spacing w:before="160" w:after="160"/>
        <w:ind w:left="720" w:right="720"/>
      </w:pPr>
      <w:r>
        <w:rPr>
          <w:rFonts w:ascii="Georgia" w:hAnsi="Georgia"/>
          <w:i/>
          <w:color w:val="0A1F44"/>
          <w:sz w:val="26"/>
        </w:rPr>
        <w:t>“International AI vendors offer general-purpose platforms that are not trained on African financial data, do not understand local regulatory requirements, and are priced for Fortune 500 budgets.”</w:t>
      </w:r>
    </w:p>
    <w:p>
      <w:pPr>
        <w:spacing w:before="280" w:after="120"/>
      </w:pPr>
      <w:r>
        <w:rPr>
          <w:rFonts w:ascii="Calibri" w:hAnsi="Calibri"/>
          <w:b/>
          <w:color w:val="0A1F44"/>
          <w:sz w:val="28"/>
        </w:rPr>
        <w:t>Operational Challenges in Talent Acquisition</w:t>
      </w:r>
    </w:p>
    <w:p>
      <w:pPr>
        <w:spacing w:after="120"/>
      </w:pPr>
      <w:r>
        <w:rPr>
          <w:rFonts w:ascii="Georgia" w:hAnsi="Georgia"/>
          <w:i w:val="0"/>
          <w:color w:val="111827"/>
          <w:sz w:val="22"/>
        </w:rPr>
        <w:t>Two senior engineers departed during Q1, both recruited by hyperscaler companies. Average time-to-fill for technical positions remains elevated, creating capacity constraints that affect project delivery timelines. The CEO has assumed direct accountability for engineering talent strategy in Q2, signalling executive-level prioritisation of the recruitment challenge.</w:t>
      </w:r>
    </w:p>
    <w:p>
      <w:pPr>
        <w:spacing w:after="120"/>
      </w:pPr>
      <w:r>
        <w:rPr>
          <w:rFonts w:ascii="Georgia" w:hAnsi="Georgia"/>
          <w:i w:val="0"/>
          <w:color w:val="111827"/>
          <w:sz w:val="22"/>
        </w:rPr>
        <w:t>The talent retention issue reflects broader market dynamics in which well-funded technology companies compete aggressively for engineering expertise with AI and machine learning capabilities. This pattern creates wage pressure and turnover risk, particularly for mid-stage companies operating in emerging markets without the compensation structures of global technology firms. [4]</w:t>
      </w:r>
    </w:p>
    <w:p>
      <w:pPr>
        <w:spacing w:before="280" w:after="120"/>
      </w:pPr>
      <w:r>
        <w:rPr>
          <w:rFonts w:ascii="Calibri" w:hAnsi="Calibri"/>
          <w:b/>
          <w:color w:val="0A1F44"/>
          <w:sz w:val="28"/>
        </w:rPr>
        <w:t>Regulatory Environment and Compliance Positioning</w:t>
      </w:r>
    </w:p>
    <w:p>
      <w:pPr>
        <w:spacing w:after="120"/>
      </w:pPr>
      <w:r>
        <w:rPr>
          <w:rFonts w:ascii="Georgia" w:hAnsi="Georgia"/>
          <w:i w:val="0"/>
          <w:color w:val="111827"/>
          <w:sz w:val="22"/>
        </w:rPr>
        <w:t>Explainability features introduced in platform version 2.1 respond directly to regulatory guidance on model transparency issued by local financial authorities. These capabilities enable clients to document and justify algorithmic decision-making processes, a requirement that is becoming standard in regulated financial services applications.</w:t>
      </w:r>
    </w:p>
    <w:p>
      <w:pPr>
        <w:spacing w:after="120"/>
      </w:pPr>
      <w:r>
        <w:rPr>
          <w:rFonts w:ascii="Georgia" w:hAnsi="Georgia"/>
          <w:i w:val="0"/>
          <w:color w:val="111827"/>
          <w:sz w:val="22"/>
        </w:rPr>
        <w:t>The African Union is developing a continent-wide data governance framework that may affect cross-border data flows between Lemasy's operating markets. The company is monitoring this policy development, as any restrictions on data movement could require architectural changes to support clients operating across multiple jurisdictions. [2], [6]</w:t>
      </w:r>
    </w:p>
    <w:p>
      <w:pPr>
        <w:spacing w:before="280" w:after="120"/>
      </w:pPr>
      <w:r>
        <w:rPr>
          <w:rFonts w:ascii="Calibri" w:hAnsi="Calibri"/>
          <w:b/>
          <w:color w:val="0A1F44"/>
          <w:sz w:val="28"/>
        </w:rPr>
        <w:t>Board Governance and Performance Accountability</w:t>
      </w:r>
    </w:p>
    <w:p>
      <w:pPr>
        <w:spacing w:after="120"/>
      </w:pPr>
      <w:r>
        <w:rPr>
          <w:rFonts w:ascii="Georgia" w:hAnsi="Georgia"/>
          <w:i w:val="0"/>
          <w:color w:val="111827"/>
          <w:sz w:val="22"/>
        </w:rPr>
        <w:t>The board convened with full attendance during Q1, with the chairman noting that the quarter represented an inflection point in the company's development trajectory. The crossing of the USD 2M quarterly revenue threshold was highlighted as a milestone warranting increased management attention to operational execution and governance frameworks.</w:t>
      </w:r>
    </w:p>
    <w:p>
      <w:pPr>
        <w:spacing w:after="120"/>
      </w:pPr>
      <w:r>
        <w:rPr>
          <w:rFonts w:ascii="Georgia" w:hAnsi="Georgia"/>
          <w:i w:val="0"/>
          <w:color w:val="111827"/>
          <w:sz w:val="22"/>
        </w:rPr>
        <w:t>A CEO performance contract establishes formal expectations for the current financial year, superseding prior informal performance discussions. The contract includes provisions for balancing entrepreneurial ambition with fiduciary discipline, ensuring growth opportunities are pursued within defined governance and risk management parameters. The agreement is subject to annual review and renewal. [2], [5]</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q1-2025-product-market-position.docx</w:t>
      </w:r>
    </w:p>
    <w:p>
      <w:pPr>
        <w:spacing w:after="60"/>
      </w:pPr>
      <w:r>
        <w:rPr>
          <w:rFonts w:ascii="Calibri" w:hAnsi="Calibri"/>
          <w:b/>
          <w:color w:val="8B2E2B"/>
          <w:sz w:val="20"/>
        </w:rPr>
        <w:t xml:space="preserve">[2]  </w:t>
      </w:r>
      <w:r>
        <w:rPr>
          <w:rFonts w:ascii="Georgia" w:hAnsi="Georgia"/>
          <w:color w:val="111827"/>
          <w:sz w:val="20"/>
        </w:rPr>
        <w:t>lemasy_minutes_q1_2025</w:t>
      </w:r>
    </w:p>
    <w:p>
      <w:pPr>
        <w:spacing w:after="60"/>
      </w:pPr>
      <w:r>
        <w:rPr>
          <w:rFonts w:ascii="Calibri" w:hAnsi="Calibri"/>
          <w:b/>
          <w:color w:val="8B2E2B"/>
          <w:sz w:val="20"/>
        </w:rPr>
        <w:t xml:space="preserve">[3]  </w:t>
      </w:r>
      <w:r>
        <w:rPr>
          <w:rFonts w:ascii="Georgia" w:hAnsi="Georgia"/>
          <w:color w:val="111827"/>
          <w:sz w:val="20"/>
        </w:rPr>
        <w:t>lemasy_strategic_report_fy2025_2027</w:t>
      </w:r>
    </w:p>
    <w:p>
      <w:pPr>
        <w:spacing w:after="60"/>
      </w:pPr>
      <w:r>
        <w:rPr>
          <w:rFonts w:ascii="Calibri" w:hAnsi="Calibri"/>
          <w:b/>
          <w:color w:val="8B2E2B"/>
          <w:sz w:val="20"/>
        </w:rPr>
        <w:t xml:space="preserve">[4]  </w:t>
      </w:r>
      <w:r>
        <w:rPr>
          <w:rFonts w:ascii="Georgia" w:hAnsi="Georgia"/>
          <w:color w:val="111827"/>
          <w:sz w:val="20"/>
        </w:rPr>
        <w:t>lemasy_ceo_report_q1_2025</w:t>
      </w:r>
    </w:p>
    <w:p>
      <w:pPr>
        <w:spacing w:after="60"/>
      </w:pPr>
      <w:r>
        <w:rPr>
          <w:rFonts w:ascii="Calibri" w:hAnsi="Calibri"/>
          <w:b/>
          <w:color w:val="8B2E2B"/>
          <w:sz w:val="20"/>
        </w:rPr>
        <w:t xml:space="preserve">[5]  </w:t>
      </w:r>
      <w:r>
        <w:rPr>
          <w:rFonts w:ascii="Georgia" w:hAnsi="Georgia"/>
          <w:color w:val="111827"/>
          <w:sz w:val="20"/>
        </w:rPr>
        <w:t>lemasy_ceo_performance_contract_fy2025</w:t>
      </w:r>
    </w:p>
    <w:p>
      <w:pPr>
        <w:spacing w:after="60"/>
      </w:pPr>
      <w:r>
        <w:rPr>
          <w:rFonts w:ascii="Calibri" w:hAnsi="Calibri"/>
          <w:b/>
          <w:color w:val="8B2E2B"/>
          <w:sz w:val="20"/>
        </w:rPr>
        <w:t xml:space="preserve">[6]  </w:t>
      </w:r>
      <w:r>
        <w:rPr>
          <w:rFonts w:ascii="Georgia" w:hAnsi="Georgia"/>
          <w:color w:val="111827"/>
          <w:sz w:val="20"/>
        </w:rPr>
        <w:t>lemasy_customer_report_q1_2025</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Diagnostic option-A repro: Direct-stream failover verification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