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pPr>
      <w:r>
        <w:rPr>
          <w:rFonts w:ascii="Calibri" w:cs="Calibri" w:eastAsia="Calibri" w:hAnsi="Calibri"/>
          <w:b/>
          <w:bCs/>
          <w:color w:val="8B2E2B"/>
          <w:sz w:val="16"/>
          <w:szCs w:val="16"/>
        </w:rPr>
        <w:t xml:space="preserve">U B O R A   B A N K   ·   Q 1   2 0 2 6</w:t>
      </w:r>
    </w:p>
    <w:p>
      <w:pPr>
        <w:pBdr>
          <w:bottom w:val="single" w:color="8B2E2B" w:sz="6" w:space="10"/>
        </w:pBdr>
        <w:spacing w:after="360"/>
      </w:pPr>
      <w:r>
        <w:t xml:space="preserve"/>
      </w:r>
    </w:p>
    <w:p>
      <w:pPr>
        <w:spacing w:after="100"/>
      </w:pPr>
      <w:r>
        <w:rPr>
          <w:rFonts w:ascii="Georgia" w:cs="Georgia" w:eastAsia="Georgia" w:hAnsi="Georgia"/>
          <w:b/>
          <w:bCs/>
          <w:color w:val="1A1A1A"/>
          <w:sz w:val="56"/>
          <w:szCs w:val="56"/>
        </w:rPr>
        <w:t xml:space="preserve">Q1 2026 Document Set</w:t>
      </w:r>
    </w:p>
    <w:p>
      <w:pPr>
        <w:spacing w:after="600"/>
      </w:pPr>
      <w:r>
        <w:rPr>
          <w:rFonts w:ascii="Georgia" w:cs="Georgia" w:eastAsia="Georgia" w:hAnsi="Georgia"/>
          <w:i/>
          <w:iCs/>
          <w:color w:val="1A1A1A"/>
          <w:sz w:val="26"/>
          <w:szCs w:val="26"/>
        </w:rPr>
        <w:t xml:space="preserve">Monthly management reports · Committee papers · Board pack · Minutes</w:t>
      </w:r>
    </w:p>
    <w:p>
      <w:pPr>
        <w:spacing w:after="280" w:before="0" w:line="320"/>
        <w:jc w:val="left"/>
      </w:pPr>
      <w:r>
        <w:rPr>
          <w:rFonts w:ascii="Calibri" w:cs="Calibri" w:eastAsia="Calibri" w:hAnsi="Calibri"/>
          <w:b w:val="false"/>
          <w:bCs w:val="false"/>
          <w:i w:val="false"/>
          <w:iCs w:val="false"/>
          <w:color w:val="2B2B2A"/>
          <w:sz w:val="22"/>
          <w:szCs w:val="22"/>
        </w:rPr>
        <w:t xml:space="preserve">Eleven documents covering Ubora Bank's Q1 2026 governance cycle. Monthly management reports for January, February, and March, with corresponding Audit Committee papers (Bram Mwalo chairs). One Q1 Risk Committee paper. The Q1 quarterly board pack. Minutes for the May 15 board meeting and the three monthly Audit Committee meetings.</w:t>
      </w:r>
    </w:p>
    <w:p>
      <w:pPr>
        <w:spacing w:after="1200" w:before="0" w:line="320"/>
        <w:jc w:val="left"/>
      </w:pPr>
      <w:r>
        <w:rPr>
          <w:rFonts w:ascii="Calibri" w:cs="Calibri" w:eastAsia="Calibri" w:hAnsi="Calibri"/>
          <w:b w:val="false"/>
          <w:bCs w:val="false"/>
          <w:i w:val="false"/>
          <w:iCs w:val="false"/>
          <w:color w:val="2B2B2A"/>
          <w:sz w:val="22"/>
          <w:szCs w:val="22"/>
        </w:rPr>
        <w:t xml:space="preserve">This is Turn 1 of a three-turn sequence covering Ubora, Afya+Sendwa, and Syni.ai respectively. All numbers tie to the Ubora operational data spreadsheet delivered in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Context</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Ubora Bank Limited — mid-tier Kenyan commercial bank</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Reporting period</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Q1 2026 (January – March 2026)</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Document count</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Eleven (3 mgmt reports + 3 Audit papers + 1 Risk paper + 1 board pack + 4 minutes)</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Currency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KES Millions throughout</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Bram's role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Independent Director, Chair of Audit Committee</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Companion data</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AKKI_Test_Data_Ubora_Bank_Operational.xlsx</w:t>
            </w:r>
          </w:p>
        </w:tc>
      </w:tr>
    </w:tbl>
    <w:p>
      <w:r>
        <w:br w:type="page"/>
      </w:r>
    </w:p>
    <w:p>
      <w:pPr>
        <w:pStyle w:val="Heading1"/>
        <w:spacing w:after="220" w:before="440"/>
      </w:pPr>
      <w:r>
        <w:rPr>
          <w:rFonts w:ascii="Georgia" w:cs="Georgia" w:eastAsia="Georgia" w:hAnsi="Georgia"/>
          <w:b/>
          <w:bCs/>
          <w:color w:val="1A1A1A"/>
          <w:sz w:val="34"/>
          <w:szCs w:val="34"/>
        </w:rPr>
        <w:t xml:space="preserve">Document index</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1. </w:t>
      </w:r>
      <w:r>
        <w:rPr>
          <w:rFonts w:ascii="Calibri" w:cs="Calibri" w:eastAsia="Calibri" w:hAnsi="Calibri"/>
          <w:b w:val="false"/>
          <w:bCs w:val="false"/>
          <w:i w:val="false"/>
          <w:iCs w:val="false"/>
          <w:color w:val="1A1A1A"/>
          <w:sz w:val="22"/>
          <w:szCs w:val="22"/>
        </w:rPr>
        <w:t xml:space="preserve">Management Report — January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2. </w:t>
      </w:r>
      <w:r>
        <w:rPr>
          <w:rFonts w:ascii="Calibri" w:cs="Calibri" w:eastAsia="Calibri" w:hAnsi="Calibri"/>
          <w:b w:val="false"/>
          <w:bCs w:val="false"/>
          <w:i w:val="false"/>
          <w:iCs w:val="false"/>
          <w:color w:val="1A1A1A"/>
          <w:sz w:val="22"/>
          <w:szCs w:val="22"/>
        </w:rPr>
        <w:t xml:space="preserve">Audit Committee Paper — January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3. </w:t>
      </w:r>
      <w:r>
        <w:rPr>
          <w:rFonts w:ascii="Calibri" w:cs="Calibri" w:eastAsia="Calibri" w:hAnsi="Calibri"/>
          <w:b w:val="false"/>
          <w:bCs w:val="false"/>
          <w:i w:val="false"/>
          <w:iCs w:val="false"/>
          <w:color w:val="1A1A1A"/>
          <w:sz w:val="22"/>
          <w:szCs w:val="22"/>
        </w:rPr>
        <w:t xml:space="preserve">Audit Committee Minutes — 8 February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4. </w:t>
      </w:r>
      <w:r>
        <w:rPr>
          <w:rFonts w:ascii="Calibri" w:cs="Calibri" w:eastAsia="Calibri" w:hAnsi="Calibri"/>
          <w:b w:val="false"/>
          <w:bCs w:val="false"/>
          <w:i w:val="false"/>
          <w:iCs w:val="false"/>
          <w:color w:val="1A1A1A"/>
          <w:sz w:val="22"/>
          <w:szCs w:val="22"/>
        </w:rPr>
        <w:t xml:space="preserve">Management Report — February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5. </w:t>
      </w:r>
      <w:r>
        <w:rPr>
          <w:rFonts w:ascii="Calibri" w:cs="Calibri" w:eastAsia="Calibri" w:hAnsi="Calibri"/>
          <w:b w:val="false"/>
          <w:bCs w:val="false"/>
          <w:i w:val="false"/>
          <w:iCs w:val="false"/>
          <w:color w:val="1A1A1A"/>
          <w:sz w:val="22"/>
          <w:szCs w:val="22"/>
        </w:rPr>
        <w:t xml:space="preserve">Audit Committee Paper — February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6. </w:t>
      </w:r>
      <w:r>
        <w:rPr>
          <w:rFonts w:ascii="Calibri" w:cs="Calibri" w:eastAsia="Calibri" w:hAnsi="Calibri"/>
          <w:b w:val="false"/>
          <w:bCs w:val="false"/>
          <w:i w:val="false"/>
          <w:iCs w:val="false"/>
          <w:color w:val="1A1A1A"/>
          <w:sz w:val="22"/>
          <w:szCs w:val="22"/>
        </w:rPr>
        <w:t xml:space="preserve">Audit Committee Minutes — 8 March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7. </w:t>
      </w:r>
      <w:r>
        <w:rPr>
          <w:rFonts w:ascii="Calibri" w:cs="Calibri" w:eastAsia="Calibri" w:hAnsi="Calibri"/>
          <w:b w:val="false"/>
          <w:bCs w:val="false"/>
          <w:i w:val="false"/>
          <w:iCs w:val="false"/>
          <w:color w:val="1A1A1A"/>
          <w:sz w:val="22"/>
          <w:szCs w:val="22"/>
        </w:rPr>
        <w:t xml:space="preserve">Management Report — March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8. </w:t>
      </w:r>
      <w:r>
        <w:rPr>
          <w:rFonts w:ascii="Calibri" w:cs="Calibri" w:eastAsia="Calibri" w:hAnsi="Calibri"/>
          <w:b w:val="false"/>
          <w:bCs w:val="false"/>
          <w:i w:val="false"/>
          <w:iCs w:val="false"/>
          <w:color w:val="1A1A1A"/>
          <w:sz w:val="22"/>
          <w:szCs w:val="22"/>
        </w:rPr>
        <w:t xml:space="preserve">Audit Committee Paper — March 2026 (consolidated Q1 review)</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9. </w:t>
      </w:r>
      <w:r>
        <w:rPr>
          <w:rFonts w:ascii="Calibri" w:cs="Calibri" w:eastAsia="Calibri" w:hAnsi="Calibri"/>
          <w:b w:val="false"/>
          <w:bCs w:val="false"/>
          <w:i w:val="false"/>
          <w:iCs w:val="false"/>
          <w:color w:val="1A1A1A"/>
          <w:sz w:val="22"/>
          <w:szCs w:val="22"/>
        </w:rPr>
        <w:t xml:space="preserve">Audit Committee Minutes — 8 May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10. </w:t>
      </w:r>
      <w:r>
        <w:rPr>
          <w:rFonts w:ascii="Calibri" w:cs="Calibri" w:eastAsia="Calibri" w:hAnsi="Calibri"/>
          <w:b w:val="false"/>
          <w:bCs w:val="false"/>
          <w:i w:val="false"/>
          <w:iCs w:val="false"/>
          <w:color w:val="1A1A1A"/>
          <w:sz w:val="22"/>
          <w:szCs w:val="22"/>
        </w:rPr>
        <w:t xml:space="preserve">Risk Committee Paper — Q1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Document 11. </w:t>
      </w:r>
      <w:r>
        <w:rPr>
          <w:rFonts w:ascii="Calibri" w:cs="Calibri" w:eastAsia="Calibri" w:hAnsi="Calibri"/>
          <w:b w:val="false"/>
          <w:bCs w:val="false"/>
          <w:i w:val="false"/>
          <w:iCs w:val="false"/>
          <w:color w:val="1A1A1A"/>
          <w:sz w:val="22"/>
          <w:szCs w:val="22"/>
        </w:rPr>
        <w:t xml:space="preserve">Board Meeting Minutes — 15 May 2026</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1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Management Report — January 2026</w:t>
      </w:r>
    </w:p>
    <w:p>
      <w:pPr>
        <w:spacing w:after="240"/>
      </w:pPr>
      <w:r>
        <w:rPr>
          <w:rFonts w:ascii="Georgia" w:cs="Georgia" w:eastAsia="Georgia" w:hAnsi="Georgia"/>
          <w:i/>
          <w:iCs/>
          <w:color w:val="2B2B2A"/>
          <w:sz w:val="26"/>
          <w:szCs w:val="26"/>
        </w:rPr>
        <w:t xml:space="preserve">Submitted by Executive Management to the Board of Directors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 January – 31 January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Submitted by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James Kiprop, Chief Executive Officer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Submitted to</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 of Directors, Ubora Bank Limited</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submitted</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 February 2026</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Distribution</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 members, Audit Committee members, Risk Committee members</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CEO's overview</w:t>
      </w:r>
    </w:p>
    <w:p>
      <w:pPr>
        <w:spacing w:after="140" w:before="0" w:line="320"/>
        <w:jc w:val="left"/>
      </w:pPr>
      <w:r>
        <w:rPr>
          <w:rFonts w:ascii="Calibri" w:cs="Calibri" w:eastAsia="Calibri" w:hAnsi="Calibri"/>
          <w:b w:val="false"/>
          <w:bCs w:val="false"/>
          <w:i w:val="false"/>
          <w:iCs w:val="false"/>
          <w:color w:val="1A1A1A"/>
          <w:sz w:val="22"/>
          <w:szCs w:val="22"/>
        </w:rPr>
        <w:t xml:space="preserve">January was a difficult start to the year. The trends that surfaced in Q4 2025 — net interest margin compression, accelerating non-performing loan formation, and erosion of provisioning coverage — continued and in some cases intensified. We closed the month with profit before tax of KES 38 million, materially below the management plan of KES 65 million. This is the third consecutive month of below-plan profitability.</w:t>
      </w:r>
    </w:p>
    <w:p>
      <w:pPr>
        <w:spacing w:after="140" w:before="0" w:line="320"/>
        <w:jc w:val="left"/>
      </w:pPr>
      <w:r>
        <w:rPr>
          <w:rFonts w:ascii="Calibri" w:cs="Calibri" w:eastAsia="Calibri" w:hAnsi="Calibri"/>
          <w:b w:val="false"/>
          <w:bCs w:val="false"/>
          <w:i w:val="false"/>
          <w:iCs w:val="false"/>
          <w:color w:val="1A1A1A"/>
          <w:sz w:val="22"/>
          <w:szCs w:val="22"/>
        </w:rPr>
        <w:t xml:space="preserve">Three issues require immediate Board attention: provisioning coverage at 41% has fallen below the CBK regulatory minimum of 50%; the Capital Adequacy Ratio at 14.31% is now within 31 basis points of the regulatory floor; and the digital lending book's NPL ratio at 8.2% continues to widen relative to the overall book at 5.2%.</w:t>
      </w:r>
    </w:p>
    <w:p>
      <w:pPr>
        <w:spacing w:after="140" w:before="0" w:line="320"/>
        <w:jc w:val="left"/>
      </w:pPr>
      <w:r>
        <w:rPr>
          <w:rFonts w:ascii="Calibri" w:cs="Calibri" w:eastAsia="Calibri" w:hAnsi="Calibri"/>
          <w:b w:val="false"/>
          <w:bCs w:val="false"/>
          <w:i w:val="false"/>
          <w:iCs w:val="false"/>
          <w:color w:val="1A1A1A"/>
          <w:sz w:val="22"/>
          <w:szCs w:val="22"/>
        </w:rPr>
        <w:t xml:space="preserve">Management has begun preparation of three responsive actions, detailed below: an additional KES 130 million provisioning tranche booked in January, a Tier 1 capital plan for Board consideration in May, and a digital lending risk remediation programme to pause new product launches until risk infrastructure catches up.</w:t>
      </w:r>
    </w:p>
    <w:p>
      <w:pPr>
        <w:pStyle w:val="Heading2"/>
        <w:spacing w:after="160" w:before="300"/>
      </w:pPr>
      <w:r>
        <w:rPr>
          <w:rFonts w:ascii="Georgia" w:cs="Georgia" w:eastAsia="Georgia" w:hAnsi="Georgia"/>
          <w:b/>
          <w:bCs/>
          <w:color w:val="1A1A1A"/>
          <w:sz w:val="25"/>
          <w:szCs w:val="25"/>
        </w:rPr>
        <w:t xml:space="preserve">Financial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Jan 2026 actual</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Jan 2026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Dec 2025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interest income</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224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218</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Non-interest revenue</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148</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(3.4%)</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146</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Operating expenses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192</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+3.6%</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194</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Provisions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+46.2%</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88</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Profit before tax</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82</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Profit after tax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37</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81</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(54.3%)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57</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NIM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5.6%</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CTI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57.3%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53.8%</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+350 bps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55.6%</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ROE annualised</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5.8%</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12.6%</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(680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9.0%</w:t>
            </w:r>
          </w:p>
        </w:tc>
      </w:tr>
    </w:tbl>
    <w:p>
      <w:pPr>
        <w:spacing w:after="18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January's variance to plan is concentrated in two areas. Provisions came in at KES 95 million versus plan of KES 65 million — a KES 30 million additional provision tranche was taken following the December credit committee review. Net interest income missed plan by KES 20 million, driven by faster-than-expected deposit cost inflation; new term deposit pricing absorbed the CBK's December rate posture more aggressively than the asset book has yet repriced.</w:t>
      </w:r>
    </w:p>
    <w:p>
      <w:pPr>
        <w:pStyle w:val="Heading2"/>
        <w:spacing w:after="160" w:before="300"/>
      </w:pPr>
      <w:r>
        <w:rPr>
          <w:rFonts w:ascii="Georgia" w:cs="Georgia" w:eastAsia="Georgia" w:hAnsi="Georgia"/>
          <w:b/>
          <w:bCs/>
          <w:color w:val="1A1A1A"/>
          <w:sz w:val="25"/>
          <w:szCs w:val="25"/>
        </w:rPr>
        <w:t xml:space="preserve">Loan book and credit quality</w:t>
      </w:r>
    </w:p>
    <w:p>
      <w:pPr>
        <w:spacing w:after="140" w:before="0" w:line="320"/>
        <w:jc w:val="left"/>
      </w:pPr>
      <w:r>
        <w:rPr>
          <w:rFonts w:ascii="Calibri" w:cs="Calibri" w:eastAsia="Calibri" w:hAnsi="Calibri"/>
          <w:b w:val="false"/>
          <w:bCs w:val="false"/>
          <w:i w:val="false"/>
          <w:iCs w:val="false"/>
          <w:color w:val="1A1A1A"/>
          <w:sz w:val="22"/>
          <w:szCs w:val="22"/>
        </w:rPr>
        <w:t xml:space="preserve">Net loan book grew to KES 52.8 billion, up 3.1% from December. Growth was concentrated in two areas: digital lending (+11% MoM, KES 350 million absolute increase) and corporate working capital (+4% MoM). Real estate sector lending was held flat at KES 16.4 billion (31% of total) by management decision pending Board guidance on sector concentration policy.</w:t>
      </w:r>
    </w:p>
    <w:p>
      <w:pPr>
        <w:spacing w:after="140" w:before="0" w:line="320"/>
        <w:jc w:val="left"/>
      </w:pPr>
      <w:r>
        <w:rPr>
          <w:rFonts w:ascii="Calibri" w:cs="Calibri" w:eastAsia="Calibri" w:hAnsi="Calibri"/>
          <w:b w:val="false"/>
          <w:bCs w:val="false"/>
          <w:i w:val="false"/>
          <w:iCs w:val="false"/>
          <w:color w:val="1A1A1A"/>
          <w:sz w:val="22"/>
          <w:szCs w:val="22"/>
        </w:rPr>
        <w:t xml:space="preserve">Non-performing loans grew to KES 2.74 billion (5.2% of loans, up from 5.0% in December). The growth is concentrated in three exposures: Mwangaza Properties (real estate, KES 285 million now classified as Stage 3), Bahari Logistics (transport, KES 142 million, restructure under negotiation), and digital lending Stage 2 migrations (cumulative KES 165 million).</w:t>
      </w:r>
    </w:p>
    <w:p>
      <w:pPr>
        <w:spacing w:after="140" w:before="0" w:line="320"/>
        <w:jc w:val="left"/>
      </w:pPr>
      <w:r>
        <w:rPr>
          <w:rFonts w:ascii="Calibri" w:cs="Calibri" w:eastAsia="Calibri" w:hAnsi="Calibri"/>
          <w:b w:val="false"/>
          <w:bCs w:val="false"/>
          <w:i w:val="false"/>
          <w:iCs w:val="false"/>
          <w:color w:val="1A1A1A"/>
          <w:sz w:val="22"/>
          <w:szCs w:val="22"/>
        </w:rPr>
        <w:t xml:space="preserve">Watch-list balances grew to KES 3.28 billion — a 5% MoM increase. The leading-indicator implication: continued NPL formation through Q1 and likely into Q2.</w:t>
      </w:r>
    </w:p>
    <w:p>
      <w:pPr>
        <w:pStyle w:val="Heading2"/>
        <w:spacing w:after="160" w:before="300"/>
      </w:pPr>
      <w:r>
        <w:rPr>
          <w:rFonts w:ascii="Georgia" w:cs="Georgia" w:eastAsia="Georgia" w:hAnsi="Georgia"/>
          <w:b/>
          <w:bCs/>
          <w:color w:val="1A1A1A"/>
          <w:sz w:val="25"/>
          <w:szCs w:val="25"/>
        </w:rPr>
        <w:t xml:space="preserve">Provisioning coverage</w:t>
      </w:r>
    </w:p>
    <w:p>
      <w:pPr>
        <w:spacing w:after="140" w:before="0" w:line="320"/>
        <w:jc w:val="left"/>
      </w:pPr>
      <w:r>
        <w:rPr>
          <w:rFonts w:ascii="Calibri" w:cs="Calibri" w:eastAsia="Calibri" w:hAnsi="Calibri"/>
          <w:b w:val="false"/>
          <w:bCs w:val="false"/>
          <w:i w:val="false"/>
          <w:iCs w:val="false"/>
          <w:color w:val="1A1A1A"/>
          <w:sz w:val="22"/>
          <w:szCs w:val="22"/>
        </w:rPr>
        <w:t xml:space="preserve">Provisioning coverage stood at 41% at month-end, below the CBK regulatory minimum of 50%. The Bank booked KES 95 million in additional provisions during January (versus KES 65 million in plan) but NPL growth of KES 160 million for the month outpaced provisioning, so the coverage ratio continued to deteriorate.</w:t>
      </w:r>
    </w:p>
    <w:p>
      <w:pPr>
        <w:spacing w:after="140" w:before="0" w:line="320"/>
        <w:jc w:val="left"/>
      </w:pPr>
      <w:r>
        <w:rPr>
          <w:rFonts w:ascii="Calibri" w:cs="Calibri" w:eastAsia="Calibri" w:hAnsi="Calibri"/>
          <w:b w:val="false"/>
          <w:bCs w:val="false"/>
          <w:i w:val="false"/>
          <w:iCs w:val="false"/>
          <w:color w:val="1A1A1A"/>
          <w:sz w:val="22"/>
          <w:szCs w:val="22"/>
        </w:rPr>
        <w:t xml:space="preserve">Management has committed an additional KES 175 million in provisioning across February-March to restore coverage to the regulatory minimum by quarter end. The Audit Committee has reviewed and endorsed the trajectory; the additional provisioning will compress profit before tax by approximately KES 90 million net of tax across Q1, but is necessary.</w:t>
      </w:r>
    </w:p>
    <w:p>
      <w:pPr>
        <w:spacing w:after="140" w:before="0" w:line="320"/>
        <w:jc w:val="left"/>
      </w:pPr>
      <w:r>
        <w:rPr>
          <w:rFonts w:ascii="Calibri" w:cs="Calibri" w:eastAsia="Calibri" w:hAnsi="Calibri"/>
          <w:b w:val="false"/>
          <w:bCs w:val="false"/>
          <w:i w:val="false"/>
          <w:iCs w:val="false"/>
          <w:color w:val="1A1A1A"/>
          <w:sz w:val="22"/>
          <w:szCs w:val="22"/>
        </w:rPr>
        <w:t xml:space="preserve">Engagement with CBK on the trajectory has been initiated. The Bank has filed a written statement of action with the supervisory team, committing to coverage restoration by 31 March 2026.</w:t>
      </w:r>
    </w:p>
    <w:p>
      <w:pPr>
        <w:pStyle w:val="Heading2"/>
        <w:spacing w:after="160" w:before="300"/>
      </w:pPr>
      <w:r>
        <w:rPr>
          <w:rFonts w:ascii="Georgia" w:cs="Georgia" w:eastAsia="Georgia" w:hAnsi="Georgia"/>
          <w:b/>
          <w:bCs/>
          <w:color w:val="1A1A1A"/>
          <w:sz w:val="25"/>
          <w:szCs w:val="25"/>
        </w:rPr>
        <w:t xml:space="preserve">Capital and liquidity</w:t>
      </w:r>
    </w:p>
    <w:p>
      <w:pPr>
        <w:spacing w:after="140" w:before="0" w:line="320"/>
        <w:jc w:val="left"/>
      </w:pPr>
      <w:r>
        <w:rPr>
          <w:rFonts w:ascii="Calibri" w:cs="Calibri" w:eastAsia="Calibri" w:hAnsi="Calibri"/>
          <w:b w:val="false"/>
          <w:bCs w:val="false"/>
          <w:i w:val="false"/>
          <w:iCs w:val="false"/>
          <w:color w:val="1A1A1A"/>
          <w:sz w:val="22"/>
          <w:szCs w:val="22"/>
        </w:rPr>
        <w:t xml:space="preserve">Capital Adequacy Ratio closed at 14.31% (regulatory minimum 14.00% effective January 2026). Tier 1 ratio at 11.81%. The headroom of 31 basis points is the tightest the Bank has run in the past five years, driven by RWA growth (+3.3% MoM) outpacing capital accretion (+0.6% MoM).</w:t>
      </w:r>
    </w:p>
    <w:p>
      <w:pPr>
        <w:spacing w:after="140" w:before="0" w:line="320"/>
        <w:jc w:val="left"/>
      </w:pPr>
      <w:r>
        <w:rPr>
          <w:rFonts w:ascii="Calibri" w:cs="Calibri" w:eastAsia="Calibri" w:hAnsi="Calibri"/>
          <w:b w:val="false"/>
          <w:bCs w:val="false"/>
          <w:i w:val="false"/>
          <w:iCs w:val="false"/>
          <w:color w:val="1A1A1A"/>
          <w:sz w:val="22"/>
          <w:szCs w:val="22"/>
        </w:rPr>
        <w:t xml:space="preserve">The Tier 1 capital plan being prepared for the May Board meeting envisages an issuance of KES 1.2 billion structured as a five-year subordinated note callable after year three. Indicative pricing range from advisor consultations: 14.5–15.5%. Management is targeting issuance window of August-September 2026.</w:t>
      </w:r>
    </w:p>
    <w:p>
      <w:pPr>
        <w:spacing w:after="140" w:before="0" w:line="320"/>
        <w:jc w:val="left"/>
      </w:pPr>
      <w:r>
        <w:rPr>
          <w:rFonts w:ascii="Calibri" w:cs="Calibri" w:eastAsia="Calibri" w:hAnsi="Calibri"/>
          <w:b w:val="false"/>
          <w:bCs w:val="false"/>
          <w:i w:val="false"/>
          <w:iCs w:val="false"/>
          <w:color w:val="1A1A1A"/>
          <w:sz w:val="22"/>
          <w:szCs w:val="22"/>
        </w:rPr>
        <w:t xml:space="preserve">Liquidity Coverage Ratio at 116% (regulatory minimum 100%). Down from 120% in December. Wholesale funding now 13.2% of total funding (up from 12.5% in December). Customer deposit growth weakened in January to +0.8% MoM.</w:t>
      </w:r>
    </w:p>
    <w:p>
      <w:pPr>
        <w:pStyle w:val="Heading2"/>
        <w:spacing w:after="160" w:before="300"/>
      </w:pPr>
      <w:r>
        <w:rPr>
          <w:rFonts w:ascii="Georgia" w:cs="Georgia" w:eastAsia="Georgia" w:hAnsi="Georgia"/>
          <w:b/>
          <w:bCs/>
          <w:color w:val="1A1A1A"/>
          <w:sz w:val="25"/>
          <w:szCs w:val="25"/>
        </w:rPr>
        <w:t xml:space="preserve">Digital banking</w:t>
      </w:r>
    </w:p>
    <w:p>
      <w:pPr>
        <w:spacing w:after="140" w:before="0" w:line="320"/>
        <w:jc w:val="left"/>
      </w:pPr>
      <w:r>
        <w:rPr>
          <w:rFonts w:ascii="Calibri" w:cs="Calibri" w:eastAsia="Calibri" w:hAnsi="Calibri"/>
          <w:b w:val="false"/>
          <w:bCs w:val="false"/>
          <w:i w:val="false"/>
          <w:iCs w:val="false"/>
          <w:color w:val="1A1A1A"/>
          <w:sz w:val="22"/>
          <w:szCs w:val="22"/>
        </w:rPr>
        <w:t xml:space="preserve">Active mobile and web users grew to 402,000 (+3.6% MoM). Monthly transaction volume reached 5.1 million (+4.1% MoM). Digital channel revenue was KES 18 million, up from KES 17 million in December.</w:t>
      </w:r>
    </w:p>
    <w:p>
      <w:pPr>
        <w:spacing w:after="140" w:before="0" w:line="320"/>
        <w:jc w:val="left"/>
      </w:pPr>
      <w:r>
        <w:rPr>
          <w:rFonts w:ascii="Calibri" w:cs="Calibri" w:eastAsia="Calibri" w:hAnsi="Calibri"/>
          <w:b w:val="false"/>
          <w:bCs w:val="false"/>
          <w:i w:val="false"/>
          <w:iCs w:val="false"/>
          <w:color w:val="1A1A1A"/>
          <w:sz w:val="22"/>
          <w:szCs w:val="22"/>
        </w:rPr>
        <w:t xml:space="preserve">Digital lending book grew to KES 4.15 billion. NPL ratio in the digital book widened to 8.2% (up from 7.6% in December). The widening continues a trend visible since October 2025 and is the dominant driver of the gap between digital book NPL and overall book NPL.</w:t>
      </w:r>
    </w:p>
    <w:p>
      <w:pPr>
        <w:spacing w:after="140" w:before="0" w:line="320"/>
        <w:jc w:val="left"/>
      </w:pPr>
      <w:r>
        <w:rPr>
          <w:rFonts w:ascii="Calibri" w:cs="Calibri" w:eastAsia="Calibri" w:hAnsi="Calibri"/>
          <w:b w:val="false"/>
          <w:bCs w:val="false"/>
          <w:i w:val="false"/>
          <w:iCs w:val="false"/>
          <w:color w:val="1A1A1A"/>
          <w:sz w:val="22"/>
          <w:szCs w:val="22"/>
        </w:rPr>
        <w:t xml:space="preserve">Management is preparing a digital lending risk remediation programme for Board approval in May. The programme is expected to: pause new digital lending product launches for two quarters, refresh origination scoring models, rebuild collections infrastructure for the digital book, and upgrade fraud detection coverage. Capital allocation requested: KES 280 million across Q2-Q3 2026.</w:t>
      </w:r>
    </w:p>
    <w:p>
      <w:pPr>
        <w:pStyle w:val="Heading2"/>
        <w:spacing w:after="160" w:before="300"/>
      </w:pPr>
      <w:r>
        <w:rPr>
          <w:rFonts w:ascii="Georgia" w:cs="Georgia" w:eastAsia="Georgia" w:hAnsi="Georgia"/>
          <w:b/>
          <w:bCs/>
          <w:color w:val="1A1A1A"/>
          <w:sz w:val="25"/>
          <w:szCs w:val="25"/>
        </w:rPr>
        <w:t xml:space="preserve">Cyber and operational risk</w:t>
      </w:r>
    </w:p>
    <w:p>
      <w:pPr>
        <w:spacing w:after="140" w:before="0" w:line="320"/>
        <w:jc w:val="left"/>
      </w:pPr>
      <w:r>
        <w:rPr>
          <w:rFonts w:ascii="Calibri" w:cs="Calibri" w:eastAsia="Calibri" w:hAnsi="Calibri"/>
          <w:b w:val="false"/>
          <w:bCs w:val="false"/>
          <w:i w:val="false"/>
          <w:iCs w:val="false"/>
          <w:color w:val="1A1A1A"/>
          <w:sz w:val="22"/>
          <w:szCs w:val="22"/>
        </w:rPr>
        <w:t xml:space="preserve">January saw two cyber events with operational impact — a business email compromise attempt that resulted in KES 4 million actual loss against KES 22 million attempted, and a phishing campaign that compromised three customer accounts before detection (KES 2.8 million in fraud loss before account suspension). Both events have been investigated and reported through normal channels; the BEC event has been disclosed to CBK as a notifiable event.</w:t>
      </w:r>
    </w:p>
    <w:p>
      <w:pPr>
        <w:spacing w:after="140" w:before="0" w:line="320"/>
        <w:jc w:val="left"/>
      </w:pPr>
      <w:r>
        <w:rPr>
          <w:rFonts w:ascii="Calibri" w:cs="Calibri" w:eastAsia="Calibri" w:hAnsi="Calibri"/>
          <w:b w:val="false"/>
          <w:bCs w:val="false"/>
          <w:i w:val="false"/>
          <w:iCs w:val="false"/>
          <w:color w:val="1A1A1A"/>
          <w:sz w:val="22"/>
          <w:szCs w:val="22"/>
        </w:rPr>
        <w:t xml:space="preserve">Cyber attack attempts detected by the security operations team grew to 565 monthly (up from 485 in December). The trajectory matches the trend seen across the broader Kenyan banking sector.</w:t>
      </w:r>
    </w:p>
    <w:p>
      <w:pPr>
        <w:spacing w:after="140" w:before="0" w:line="320"/>
        <w:jc w:val="left"/>
      </w:pPr>
      <w:r>
        <w:rPr>
          <w:rFonts w:ascii="Calibri" w:cs="Calibri" w:eastAsia="Calibri" w:hAnsi="Calibri"/>
          <w:b w:val="false"/>
          <w:bCs w:val="false"/>
          <w:i w:val="false"/>
          <w:iCs w:val="false"/>
          <w:color w:val="1A1A1A"/>
          <w:sz w:val="22"/>
          <w:szCs w:val="22"/>
        </w:rPr>
        <w:t xml:space="preserve">Operational losses for the month totalled KES 58 million, the highest monthly total in the past two years. Composition: cyber/fraud (KES 28 million), insider events (KES 15 million following completion of Q4 case investigations), process events (KES 15 million).</w:t>
      </w:r>
    </w:p>
    <w:p>
      <w:pPr>
        <w:pStyle w:val="Heading2"/>
        <w:spacing w:after="160" w:before="300"/>
      </w:pPr>
      <w:r>
        <w:rPr>
          <w:rFonts w:ascii="Georgia" w:cs="Georgia" w:eastAsia="Georgia" w:hAnsi="Georgia"/>
          <w:b/>
          <w:bCs/>
          <w:color w:val="1A1A1A"/>
          <w:sz w:val="25"/>
          <w:szCs w:val="25"/>
        </w:rPr>
        <w:t xml:space="preserve">Compliance</w:t>
      </w:r>
    </w:p>
    <w:p>
      <w:pPr>
        <w:spacing w:after="140" w:before="0" w:line="320"/>
        <w:jc w:val="left"/>
      </w:pPr>
      <w:r>
        <w:rPr>
          <w:rFonts w:ascii="Calibri" w:cs="Calibri" w:eastAsia="Calibri" w:hAnsi="Calibri"/>
          <w:b w:val="false"/>
          <w:bCs w:val="false"/>
          <w:i w:val="false"/>
          <w:iCs w:val="false"/>
          <w:color w:val="1A1A1A"/>
          <w:sz w:val="22"/>
          <w:szCs w:val="22"/>
        </w:rPr>
        <w:t xml:space="preserve">The AML transaction monitoring gap identified in December continues to be in remediation. The transaction monitoring rule recalibration completed on 28 January and is in production observation. The CBK self-report timeline commits to closure by 31 March 2026; management remains on-track.</w:t>
      </w:r>
    </w:p>
    <w:p>
      <w:pPr>
        <w:spacing w:after="140" w:before="0" w:line="320"/>
        <w:jc w:val="left"/>
      </w:pPr>
      <w:r>
        <w:rPr>
          <w:rFonts w:ascii="Calibri" w:cs="Calibri" w:eastAsia="Calibri" w:hAnsi="Calibri"/>
          <w:b w:val="false"/>
          <w:bCs w:val="false"/>
          <w:i w:val="false"/>
          <w:iCs w:val="false"/>
          <w:color w:val="1A1A1A"/>
          <w:sz w:val="22"/>
          <w:szCs w:val="22"/>
        </w:rPr>
        <w:t xml:space="preserve">No new compliance findings were notified by Internal Audit during the month. Open audit findings stood at 38 (13 high-risk) at month end, unchanged from December.</w:t>
      </w:r>
    </w:p>
    <w:p>
      <w:pPr>
        <w:pStyle w:val="Heading2"/>
        <w:spacing w:after="160" w:before="300"/>
      </w:pPr>
      <w:r>
        <w:rPr>
          <w:rFonts w:ascii="Georgia" w:cs="Georgia" w:eastAsia="Georgia" w:hAnsi="Georgia"/>
          <w:b/>
          <w:bCs/>
          <w:color w:val="1A1A1A"/>
          <w:sz w:val="25"/>
          <w:szCs w:val="25"/>
        </w:rPr>
        <w:t xml:space="preserve">Recommendations to the Board</w:t>
      </w:r>
    </w:p>
    <w:p>
      <w:pPr>
        <w:pStyle w:val="ListParagraph"/>
        <w:numPr>
          <w:ilvl w:val="0"/>
          <w:numId w:val="2"/>
        </w:numPr>
        <w:spacing w:after="90" w:line="320"/>
      </w:pPr>
      <w:r>
        <w:rPr>
          <w:rFonts w:ascii="Calibri" w:cs="Calibri" w:eastAsia="Calibri" w:hAnsi="Calibri"/>
          <w:color w:val="1A1A1A"/>
          <w:sz w:val="22"/>
          <w:szCs w:val="22"/>
        </w:rPr>
        <w:t xml:space="preserve">Note the provisioning trajectory and the management action plan to restore coverage to the regulatory minimum by Q1 close.</w:t>
      </w:r>
    </w:p>
    <w:p>
      <w:pPr>
        <w:pStyle w:val="ListParagraph"/>
        <w:numPr>
          <w:ilvl w:val="0"/>
          <w:numId w:val="2"/>
        </w:numPr>
        <w:spacing w:after="90" w:line="320"/>
      </w:pPr>
      <w:r>
        <w:rPr>
          <w:rFonts w:ascii="Calibri" w:cs="Calibri" w:eastAsia="Calibri" w:hAnsi="Calibri"/>
          <w:color w:val="1A1A1A"/>
          <w:sz w:val="22"/>
          <w:szCs w:val="22"/>
        </w:rPr>
        <w:t xml:space="preserve">Note the capital headroom position and management's preparation of the Tier 1 capital plan for May Board approval.</w:t>
      </w:r>
    </w:p>
    <w:p>
      <w:pPr>
        <w:pStyle w:val="ListParagraph"/>
        <w:numPr>
          <w:ilvl w:val="0"/>
          <w:numId w:val="2"/>
        </w:numPr>
        <w:spacing w:after="90" w:line="320"/>
      </w:pPr>
      <w:r>
        <w:rPr>
          <w:rFonts w:ascii="Calibri" w:cs="Calibri" w:eastAsia="Calibri" w:hAnsi="Calibri"/>
          <w:color w:val="1A1A1A"/>
          <w:sz w:val="22"/>
          <w:szCs w:val="22"/>
        </w:rPr>
        <w:t xml:space="preserve">Receive the digital lending risk remediation programme outline; full programme paper to be presented at May Board meeting.</w:t>
      </w:r>
    </w:p>
    <w:p>
      <w:pPr>
        <w:pStyle w:val="ListParagraph"/>
        <w:numPr>
          <w:ilvl w:val="0"/>
          <w:numId w:val="2"/>
        </w:numPr>
        <w:spacing w:after="90" w:line="320"/>
      </w:pPr>
      <w:r>
        <w:rPr>
          <w:rFonts w:ascii="Calibri" w:cs="Calibri" w:eastAsia="Calibri" w:hAnsi="Calibri"/>
          <w:color w:val="1A1A1A"/>
          <w:sz w:val="22"/>
          <w:szCs w:val="22"/>
        </w:rPr>
        <w:t xml:space="preserve">Approve the proposed engagement plan with CBK on the provisioning trajectory.</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2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Audit Committee Paper — January 2026</w:t>
      </w:r>
    </w:p>
    <w:p>
      <w:pPr>
        <w:spacing w:after="240"/>
      </w:pPr>
      <w:r>
        <w:rPr>
          <w:rFonts w:ascii="Georgia" w:cs="Georgia" w:eastAsia="Georgia" w:hAnsi="Georgia"/>
          <w:i/>
          <w:iCs/>
          <w:color w:val="2B2B2A"/>
          <w:sz w:val="26"/>
          <w:szCs w:val="26"/>
        </w:rPr>
        <w:t xml:space="preserve">For the Audit Committee meeting of 8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Meeting 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 February 2026, 09:30 — 12:00</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(Independent Director)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Members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Wanjiku Karanja, David Otieno, Susan Mwende</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Management attendees</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James Kiprop (CEO), Margaret Wambui (CFO), Daniel Mutua (CRO), Mary Achieng (Head of Internal Audit)</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 requirement</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Three members present</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Standing items for committee deliberation</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Item 1. </w:t>
      </w:r>
      <w:r>
        <w:rPr>
          <w:rFonts w:ascii="Calibri" w:cs="Calibri" w:eastAsia="Calibri" w:hAnsi="Calibri"/>
          <w:b w:val="false"/>
          <w:bCs w:val="false"/>
          <w:i w:val="false"/>
          <w:iCs w:val="false"/>
          <w:color w:val="1A1A1A"/>
          <w:sz w:val="22"/>
          <w:szCs w:val="22"/>
        </w:rPr>
        <w:t xml:space="preserve">Provisioning adequacy review — January 2026 trajectory</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Item 2. </w:t>
      </w:r>
      <w:r>
        <w:rPr>
          <w:rFonts w:ascii="Calibri" w:cs="Calibri" w:eastAsia="Calibri" w:hAnsi="Calibri"/>
          <w:b w:val="false"/>
          <w:bCs w:val="false"/>
          <w:i w:val="false"/>
          <w:iCs w:val="false"/>
          <w:color w:val="1A1A1A"/>
          <w:sz w:val="22"/>
          <w:szCs w:val="22"/>
        </w:rPr>
        <w:t xml:space="preserve">Audit findings status and remediation pace</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Item 3. </w:t>
      </w:r>
      <w:r>
        <w:rPr>
          <w:rFonts w:ascii="Calibri" w:cs="Calibri" w:eastAsia="Calibri" w:hAnsi="Calibri"/>
          <w:b w:val="false"/>
          <w:bCs w:val="false"/>
          <w:i w:val="false"/>
          <w:iCs w:val="false"/>
          <w:color w:val="1A1A1A"/>
          <w:sz w:val="22"/>
          <w:szCs w:val="22"/>
        </w:rPr>
        <w:t xml:space="preserve">AML transaction monitoring remediation status</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Item 4. </w:t>
      </w:r>
      <w:r>
        <w:rPr>
          <w:rFonts w:ascii="Calibri" w:cs="Calibri" w:eastAsia="Calibri" w:hAnsi="Calibri"/>
          <w:b w:val="false"/>
          <w:bCs w:val="false"/>
          <w:i w:val="false"/>
          <w:iCs w:val="false"/>
          <w:color w:val="1A1A1A"/>
          <w:sz w:val="22"/>
          <w:szCs w:val="22"/>
        </w:rPr>
        <w:t xml:space="preserve">Cyber event review — January 2026 BEC and phishing events</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Item 5. </w:t>
      </w:r>
      <w:r>
        <w:rPr>
          <w:rFonts w:ascii="Calibri" w:cs="Calibri" w:eastAsia="Calibri" w:hAnsi="Calibri"/>
          <w:b w:val="false"/>
          <w:bCs w:val="false"/>
          <w:i w:val="false"/>
          <w:iCs w:val="false"/>
          <w:color w:val="1A1A1A"/>
          <w:sz w:val="22"/>
          <w:szCs w:val="22"/>
        </w:rPr>
        <w:t xml:space="preserve">Internal Audit programme status and capacity update</w:t>
      </w:r>
    </w:p>
    <w:p>
      <w:pPr>
        <w:pStyle w:val="Heading2"/>
        <w:spacing w:after="160" w:before="300"/>
      </w:pPr>
      <w:r>
        <w:rPr>
          <w:rFonts w:ascii="Georgia" w:cs="Georgia" w:eastAsia="Georgia" w:hAnsi="Georgia"/>
          <w:b/>
          <w:bCs/>
          <w:color w:val="1A1A1A"/>
          <w:sz w:val="25"/>
          <w:szCs w:val="25"/>
        </w:rPr>
        <w:t xml:space="preserve">Item 1 — Provisioning adequacy review</w:t>
      </w:r>
    </w:p>
    <w:p>
      <w:pPr>
        <w:spacing w:after="140" w:before="0" w:line="320"/>
        <w:jc w:val="left"/>
      </w:pPr>
      <w:r>
        <w:rPr>
          <w:rFonts w:ascii="Calibri" w:cs="Calibri" w:eastAsia="Calibri" w:hAnsi="Calibri"/>
          <w:b w:val="false"/>
          <w:bCs w:val="false"/>
          <w:i w:val="false"/>
          <w:iCs w:val="false"/>
          <w:color w:val="1A1A1A"/>
          <w:sz w:val="22"/>
          <w:szCs w:val="22"/>
        </w:rPr>
        <w:t xml:space="preserve">Provisioning coverage at January month-end stood at 41% against the CBK regulatory minimum of 50%. The Bank booked KES 95 million in additional provisions during January, but NPL growth of KES 160 million outpaced provisioning, leading to continued coverage erosion.</w:t>
      </w:r>
    </w:p>
    <w:p>
      <w:pPr>
        <w:spacing w:after="140" w:before="0" w:line="320"/>
        <w:jc w:val="left"/>
      </w:pPr>
      <w:r>
        <w:rPr>
          <w:rFonts w:ascii="Calibri" w:cs="Calibri" w:eastAsia="Calibri" w:hAnsi="Calibri"/>
          <w:b w:val="false"/>
          <w:bCs w:val="false"/>
          <w:i w:val="false"/>
          <w:iCs w:val="false"/>
          <w:color w:val="1A1A1A"/>
          <w:sz w:val="22"/>
          <w:szCs w:val="22"/>
        </w:rPr>
        <w:t xml:space="preserve">Management has committed KES 175 million in additional provisioning across February-March to restore coverage to the regulatory minimum by quarter end. The Audit Committee has previously endorsed this trajectory at the December meeting; this paper confirms the path remains achievable.</w:t>
      </w:r>
    </w:p>
    <w:p>
      <w:pPr>
        <w:pStyle w:val="Heading3"/>
        <w:spacing w:after="120" w:before="220"/>
      </w:pPr>
      <w:r>
        <w:rPr>
          <w:rFonts w:ascii="Calibri" w:cs="Calibri" w:eastAsia="Calibri" w:hAnsi="Calibri"/>
          <w:b/>
          <w:bCs/>
          <w:color w:val="1A1A1A"/>
          <w:sz w:val="22"/>
          <w:szCs w:val="22"/>
        </w:rPr>
        <w:t xml:space="preserve">Committee-relevant questions</w:t>
      </w:r>
    </w:p>
    <w:p>
      <w:pPr>
        <w:pStyle w:val="ListParagraph"/>
        <w:numPr>
          <w:ilvl w:val="0"/>
          <w:numId w:val="2"/>
        </w:numPr>
        <w:spacing w:after="90" w:line="320"/>
      </w:pPr>
      <w:r>
        <w:rPr>
          <w:rFonts w:ascii="Calibri" w:cs="Calibri" w:eastAsia="Calibri" w:hAnsi="Calibri"/>
          <w:color w:val="1A1A1A"/>
          <w:sz w:val="22"/>
          <w:szCs w:val="22"/>
        </w:rPr>
        <w:t xml:space="preserve">Are the assumptions underlying the February-March provisioning sufficient if NPL formation continues at January's pace? At KES 160 million per month NPL growth and KES 175 million remaining provisioning, coverage would close Q1 at approximately 47%, still below the regulatory minimum. Management's plan assumes NPL formation slows to KES 120-140 million per month from February.</w:t>
      </w:r>
    </w:p>
    <w:p>
      <w:pPr>
        <w:pStyle w:val="ListParagraph"/>
        <w:numPr>
          <w:ilvl w:val="0"/>
          <w:numId w:val="2"/>
        </w:numPr>
        <w:spacing w:after="90" w:line="320"/>
      </w:pPr>
      <w:r>
        <w:rPr>
          <w:rFonts w:ascii="Calibri" w:cs="Calibri" w:eastAsia="Calibri" w:hAnsi="Calibri"/>
          <w:color w:val="1A1A1A"/>
          <w:sz w:val="22"/>
          <w:szCs w:val="22"/>
        </w:rPr>
        <w:t xml:space="preserve">Has the digital lending book been provisioned adequately given its 8.2% NPL ratio? The digital book provisioning model uses a base loss rate calibrated to the 2024 book vintage. Refresh of model assumptions is recommended before the next quarterly review.</w:t>
      </w:r>
    </w:p>
    <w:p>
      <w:pPr>
        <w:pStyle w:val="ListParagraph"/>
        <w:numPr>
          <w:ilvl w:val="0"/>
          <w:numId w:val="2"/>
        </w:numPr>
        <w:spacing w:after="90" w:line="320"/>
      </w:pPr>
      <w:r>
        <w:rPr>
          <w:rFonts w:ascii="Calibri" w:cs="Calibri" w:eastAsia="Calibri" w:hAnsi="Calibri"/>
          <w:color w:val="1A1A1A"/>
          <w:sz w:val="22"/>
          <w:szCs w:val="22"/>
        </w:rPr>
        <w:t xml:space="preserve">What are the implications if CBK reviews and finds the trajectory inadequate? CBK has accepted the written statement of action filed in early February; the supervisory team has not indicated dissatisfaction with the trajectory but reserves the right to intervene if Q1 close shows coverage below 50%.</w:t>
      </w:r>
    </w:p>
    <w:p>
      <w:pPr>
        <w:pStyle w:val="Heading3"/>
        <w:spacing w:after="120" w:before="220"/>
      </w:pPr>
      <w:r>
        <w:rPr>
          <w:rFonts w:ascii="Calibri" w:cs="Calibri" w:eastAsia="Calibri" w:hAnsi="Calibri"/>
          <w:b/>
          <w:bCs/>
          <w:color w:val="1A1A1A"/>
          <w:sz w:val="22"/>
          <w:szCs w:val="22"/>
        </w:rPr>
        <w:t xml:space="preserve">Audit Committee recommendation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recommends to the Board:</w:t>
      </w:r>
    </w:p>
    <w:p>
      <w:pPr>
        <w:pStyle w:val="ListParagraph"/>
        <w:numPr>
          <w:ilvl w:val="0"/>
          <w:numId w:val="2"/>
        </w:numPr>
        <w:spacing w:after="90" w:line="320"/>
      </w:pPr>
      <w:r>
        <w:rPr>
          <w:rFonts w:ascii="Calibri" w:cs="Calibri" w:eastAsia="Calibri" w:hAnsi="Calibri"/>
          <w:color w:val="1A1A1A"/>
          <w:sz w:val="22"/>
          <w:szCs w:val="22"/>
        </w:rPr>
        <w:t xml:space="preserve">Endorse the trajectory of KES 175 million additional provisioning across February-March.</w:t>
      </w:r>
    </w:p>
    <w:p>
      <w:pPr>
        <w:pStyle w:val="ListParagraph"/>
        <w:numPr>
          <w:ilvl w:val="0"/>
          <w:numId w:val="2"/>
        </w:numPr>
        <w:spacing w:after="90" w:line="320"/>
      </w:pPr>
      <w:r>
        <w:rPr>
          <w:rFonts w:ascii="Calibri" w:cs="Calibri" w:eastAsia="Calibri" w:hAnsi="Calibri"/>
          <w:color w:val="1A1A1A"/>
          <w:sz w:val="22"/>
          <w:szCs w:val="22"/>
        </w:rPr>
        <w:t xml:space="preserve">Direct management to refresh the digital lending provisioning model assumptions before the Q2 review.</w:t>
      </w:r>
    </w:p>
    <w:p>
      <w:pPr>
        <w:pStyle w:val="ListParagraph"/>
        <w:numPr>
          <w:ilvl w:val="0"/>
          <w:numId w:val="2"/>
        </w:numPr>
        <w:spacing w:after="90" w:line="320"/>
      </w:pPr>
      <w:r>
        <w:rPr>
          <w:rFonts w:ascii="Calibri" w:cs="Calibri" w:eastAsia="Calibri" w:hAnsi="Calibri"/>
          <w:color w:val="1A1A1A"/>
          <w:sz w:val="22"/>
          <w:szCs w:val="22"/>
        </w:rPr>
        <w:t xml:space="preserve">Direct management to engage external auditor (PwC) for an interim provisioning adequacy review by 30 April 2026.</w:t>
      </w:r>
    </w:p>
    <w:p>
      <w:pPr>
        <w:pStyle w:val="ListParagraph"/>
        <w:numPr>
          <w:ilvl w:val="0"/>
          <w:numId w:val="2"/>
        </w:numPr>
        <w:spacing w:after="90" w:line="320"/>
      </w:pPr>
      <w:r>
        <w:rPr>
          <w:rFonts w:ascii="Calibri" w:cs="Calibri" w:eastAsia="Calibri" w:hAnsi="Calibri"/>
          <w:color w:val="1A1A1A"/>
          <w:sz w:val="22"/>
          <w:szCs w:val="22"/>
        </w:rPr>
        <w:t xml:space="preserve">Confirm in writing to CBK the steps being taken; the written statement of action filed on 6 February covers this requirement.</w:t>
      </w:r>
    </w:p>
    <w:p>
      <w:pPr>
        <w:pStyle w:val="Heading2"/>
        <w:spacing w:after="160" w:before="300"/>
      </w:pPr>
      <w:r>
        <w:rPr>
          <w:rFonts w:ascii="Georgia" w:cs="Georgia" w:eastAsia="Georgia" w:hAnsi="Georgia"/>
          <w:b/>
          <w:bCs/>
          <w:color w:val="1A1A1A"/>
          <w:sz w:val="25"/>
          <w:szCs w:val="25"/>
        </w:rPr>
        <w:t xml:space="preserve">Item 2 — Audit findings status</w:t>
      </w:r>
    </w:p>
    <w:p>
      <w:pPr>
        <w:spacing w:after="140" w:before="0" w:line="320"/>
        <w:jc w:val="left"/>
      </w:pPr>
      <w:r>
        <w:rPr>
          <w:rFonts w:ascii="Calibri" w:cs="Calibri" w:eastAsia="Calibri" w:hAnsi="Calibri"/>
          <w:b w:val="false"/>
          <w:bCs w:val="false"/>
          <w:i w:val="false"/>
          <w:iCs w:val="false"/>
          <w:color w:val="1A1A1A"/>
          <w:sz w:val="22"/>
          <w:szCs w:val="22"/>
        </w:rPr>
        <w:t xml:space="preserve">Open audit findings stood at 38 at January month-end (13 high-risk). The composition is unchanged from December close. Three high-risk findings have been outstanding for over twelve months — including the AML transaction monitoring finding underlying the CBK self-report.</w:t>
      </w:r>
    </w:p>
    <w:p>
      <w:pPr>
        <w:spacing w:after="140" w:before="0" w:line="320"/>
        <w:jc w:val="left"/>
      </w:pPr>
      <w:r>
        <w:rPr>
          <w:rFonts w:ascii="Calibri" w:cs="Calibri" w:eastAsia="Calibri" w:hAnsi="Calibri"/>
          <w:b w:val="false"/>
          <w:bCs w:val="false"/>
          <w:i w:val="false"/>
          <w:iCs w:val="false"/>
          <w:color w:val="1A1A1A"/>
          <w:sz w:val="22"/>
          <w:szCs w:val="22"/>
        </w:rPr>
        <w:t xml:space="preserve">Internal Audit has temporarily added two external resources for backlog clearance. The Committee considers this stop-gap. Permanent capacity expansion (two FTEs) is recommended for Board approval at the next quarterly meeting.</w:t>
      </w:r>
    </w:p>
    <w:p>
      <w:pPr>
        <w:pStyle w:val="Heading3"/>
        <w:spacing w:after="120" w:before="220"/>
      </w:pPr>
      <w:r>
        <w:rPr>
          <w:rFonts w:ascii="Calibri" w:cs="Calibri" w:eastAsia="Calibri" w:hAnsi="Calibri"/>
          <w:b/>
          <w:bCs/>
          <w:color w:val="1A1A1A"/>
          <w:sz w:val="22"/>
          <w:szCs w:val="22"/>
        </w:rPr>
        <w:t xml:space="preserve">Committee recommendation on findings</w:t>
      </w:r>
    </w:p>
    <w:p>
      <w:pPr>
        <w:pStyle w:val="ListParagraph"/>
        <w:numPr>
          <w:ilvl w:val="0"/>
          <w:numId w:val="2"/>
        </w:numPr>
        <w:spacing w:after="90" w:line="320"/>
      </w:pPr>
      <w:r>
        <w:rPr>
          <w:rFonts w:ascii="Calibri" w:cs="Calibri" w:eastAsia="Calibri" w:hAnsi="Calibri"/>
          <w:color w:val="1A1A1A"/>
          <w:sz w:val="22"/>
          <w:szCs w:val="22"/>
        </w:rPr>
        <w:t xml:space="preserve">Establish a Findings Remediation Tracker reviewed at every Audit Committee meeting and reported to the Board quarterly.</w:t>
      </w:r>
    </w:p>
    <w:p>
      <w:pPr>
        <w:pStyle w:val="ListParagraph"/>
        <w:numPr>
          <w:ilvl w:val="0"/>
          <w:numId w:val="2"/>
        </w:numPr>
        <w:spacing w:after="90" w:line="320"/>
      </w:pPr>
      <w:r>
        <w:rPr>
          <w:rFonts w:ascii="Calibri" w:cs="Calibri" w:eastAsia="Calibri" w:hAnsi="Calibri"/>
          <w:color w:val="1A1A1A"/>
          <w:sz w:val="22"/>
          <w:szCs w:val="22"/>
        </w:rPr>
        <w:t xml:space="preserve">Set a 90-day closure target for the three findings outstanding over twelve months, with escalation to CEO and Board Chair if not closed by 31 March 2026.</w:t>
      </w:r>
    </w:p>
    <w:p>
      <w:pPr>
        <w:pStyle w:val="ListParagraph"/>
        <w:numPr>
          <w:ilvl w:val="0"/>
          <w:numId w:val="2"/>
        </w:numPr>
        <w:spacing w:after="90" w:line="320"/>
      </w:pPr>
      <w:r>
        <w:rPr>
          <w:rFonts w:ascii="Calibri" w:cs="Calibri" w:eastAsia="Calibri" w:hAnsi="Calibri"/>
          <w:color w:val="1A1A1A"/>
          <w:sz w:val="22"/>
          <w:szCs w:val="22"/>
        </w:rPr>
        <w:t xml:space="preserve">Recommend Internal Audit headcount expansion of two FTEs to full Board for approval at May meeting.</w:t>
      </w:r>
    </w:p>
    <w:p>
      <w:pPr>
        <w:pStyle w:val="Heading2"/>
        <w:spacing w:after="160" w:before="300"/>
      </w:pPr>
      <w:r>
        <w:rPr>
          <w:rFonts w:ascii="Georgia" w:cs="Georgia" w:eastAsia="Georgia" w:hAnsi="Georgia"/>
          <w:b/>
          <w:bCs/>
          <w:color w:val="1A1A1A"/>
          <w:sz w:val="25"/>
          <w:szCs w:val="25"/>
        </w:rPr>
        <w:t xml:space="preserve">Item 3 — AML transaction monitoring remediation status</w:t>
      </w:r>
    </w:p>
    <w:p>
      <w:pPr>
        <w:spacing w:after="140" w:before="0" w:line="320"/>
        <w:jc w:val="left"/>
      </w:pPr>
      <w:r>
        <w:rPr>
          <w:rFonts w:ascii="Calibri" w:cs="Calibri" w:eastAsia="Calibri" w:hAnsi="Calibri"/>
          <w:b w:val="false"/>
          <w:bCs w:val="false"/>
          <w:i w:val="false"/>
          <w:iCs w:val="false"/>
          <w:color w:val="1A1A1A"/>
          <w:sz w:val="22"/>
          <w:szCs w:val="22"/>
        </w:rPr>
        <w:t xml:space="preserve">Transaction monitoring rule recalibration was completed on 28 January and is in production observation. The CBK self-report timeline commits to closure by 31 March 2026; the Committee notes the remediation is on track.</w:t>
      </w:r>
    </w:p>
    <w:p>
      <w:pPr>
        <w:spacing w:after="140" w:before="0" w:line="320"/>
        <w:jc w:val="left"/>
      </w:pPr>
      <w:r>
        <w:rPr>
          <w:rFonts w:ascii="Calibri" w:cs="Calibri" w:eastAsia="Calibri" w:hAnsi="Calibri"/>
          <w:b w:val="false"/>
          <w:bCs w:val="false"/>
          <w:i w:val="false"/>
          <w:iCs w:val="false"/>
          <w:color w:val="1A1A1A"/>
          <w:sz w:val="22"/>
          <w:szCs w:val="22"/>
        </w:rPr>
        <w:t xml:space="preserve">Internal Audit will conduct a post-implementation review during March to verify the rule recalibration is producing expected detection patterns. The findings of this review will determine whether the CBK self-report can be formally closed.</w:t>
      </w:r>
    </w:p>
    <w:p>
      <w:pPr>
        <w:pStyle w:val="Heading2"/>
        <w:spacing w:after="160" w:before="300"/>
      </w:pPr>
      <w:r>
        <w:rPr>
          <w:rFonts w:ascii="Georgia" w:cs="Georgia" w:eastAsia="Georgia" w:hAnsi="Georgia"/>
          <w:b/>
          <w:bCs/>
          <w:color w:val="1A1A1A"/>
          <w:sz w:val="25"/>
          <w:szCs w:val="25"/>
        </w:rPr>
        <w:t xml:space="preserve">Item 4 — Cyber event review</w:t>
      </w:r>
    </w:p>
    <w:p>
      <w:pPr>
        <w:spacing w:after="140" w:before="0" w:line="320"/>
        <w:jc w:val="left"/>
      </w:pPr>
      <w:r>
        <w:rPr>
          <w:rFonts w:ascii="Calibri" w:cs="Calibri" w:eastAsia="Calibri" w:hAnsi="Calibri"/>
          <w:b w:val="false"/>
          <w:bCs w:val="false"/>
          <w:i w:val="false"/>
          <w:iCs w:val="false"/>
          <w:color w:val="1A1A1A"/>
          <w:sz w:val="22"/>
          <w:szCs w:val="22"/>
        </w:rPr>
        <w:t xml:space="preserve">Two cyber events with operational impact occurred during January: a business email compromise (BEC) attempt and a phishing-driven account compromise affecting three customer accounts.</w:t>
      </w:r>
    </w:p>
    <w:p>
      <w:pPr>
        <w:spacing w:after="140" w:before="0" w:line="320"/>
        <w:jc w:val="left"/>
      </w:pPr>
      <w:r>
        <w:rPr>
          <w:rFonts w:ascii="Calibri" w:cs="Calibri" w:eastAsia="Calibri" w:hAnsi="Calibri"/>
          <w:b w:val="false"/>
          <w:bCs w:val="false"/>
          <w:i w:val="false"/>
          <w:iCs w:val="false"/>
          <w:color w:val="1A1A1A"/>
          <w:sz w:val="22"/>
          <w:szCs w:val="22"/>
        </w:rPr>
        <w:t xml:space="preserve">BEC event: attacker impersonating a vendor sought to redirect payment of KES 22 million. Treasury operations identified the attempt at the second level of vendor-confirmation but KES 4 million was disbursed before final detection. Loss has been recovered partially; KES 1.6 million remains at risk. Event has been disclosed to CBK and is in normal supervisory review.</w:t>
      </w:r>
    </w:p>
    <w:p>
      <w:pPr>
        <w:spacing w:after="140" w:before="0" w:line="320"/>
        <w:jc w:val="left"/>
      </w:pPr>
      <w:r>
        <w:rPr>
          <w:rFonts w:ascii="Calibri" w:cs="Calibri" w:eastAsia="Calibri" w:hAnsi="Calibri"/>
          <w:b w:val="false"/>
          <w:bCs w:val="false"/>
          <w:i w:val="false"/>
          <w:iCs w:val="false"/>
          <w:color w:val="1A1A1A"/>
          <w:sz w:val="22"/>
          <w:szCs w:val="22"/>
        </w:rPr>
        <w:t xml:space="preserve">Phishing event: customer-facing phishing campaign targeting bank's app users. Three accounts compromised, KES 2.8 million in fraud loss before suspension. Customer reimbursement processed.</w:t>
      </w:r>
    </w:p>
    <w:p>
      <w:pPr>
        <w:pStyle w:val="Heading3"/>
        <w:spacing w:after="120" w:before="220"/>
      </w:pPr>
      <w:r>
        <w:rPr>
          <w:rFonts w:ascii="Calibri" w:cs="Calibri" w:eastAsia="Calibri" w:hAnsi="Calibri"/>
          <w:b/>
          <w:bCs/>
          <w:color w:val="1A1A1A"/>
          <w:sz w:val="22"/>
          <w:szCs w:val="22"/>
        </w:rPr>
        <w:t xml:space="preserve">Committee-relevant questions</w:t>
      </w:r>
    </w:p>
    <w:p>
      <w:pPr>
        <w:pStyle w:val="ListParagraph"/>
        <w:numPr>
          <w:ilvl w:val="0"/>
          <w:numId w:val="2"/>
        </w:numPr>
        <w:spacing w:after="90" w:line="320"/>
      </w:pPr>
      <w:r>
        <w:rPr>
          <w:rFonts w:ascii="Calibri" w:cs="Calibri" w:eastAsia="Calibri" w:hAnsi="Calibri"/>
          <w:color w:val="1A1A1A"/>
          <w:sz w:val="22"/>
          <w:szCs w:val="22"/>
        </w:rPr>
        <w:t xml:space="preserve">Why was the BEC vendor-confirmation control insufficient at the first level? Investigation indicates the impersonating message replicated recent vendor communication patterns and arrived during a high-volume payment processing window. The control has been strengthened.</w:t>
      </w:r>
    </w:p>
    <w:p>
      <w:pPr>
        <w:pStyle w:val="ListParagraph"/>
        <w:numPr>
          <w:ilvl w:val="0"/>
          <w:numId w:val="2"/>
        </w:numPr>
        <w:spacing w:after="90" w:line="320"/>
      </w:pPr>
      <w:r>
        <w:rPr>
          <w:rFonts w:ascii="Calibri" w:cs="Calibri" w:eastAsia="Calibri" w:hAnsi="Calibri"/>
          <w:color w:val="1A1A1A"/>
          <w:sz w:val="22"/>
          <w:szCs w:val="22"/>
        </w:rPr>
        <w:t xml:space="preserve">Are the patterns in the January cyber events consistent with the broader trajectory of cyber attempts on the Bank? Yes. The Q4 2025 trajectory (cyber attempts growing 5x year-on-year) continued in January with 565 detected attempts. The events are not isolated.</w:t>
      </w:r>
    </w:p>
    <w:p>
      <w:pPr>
        <w:pStyle w:val="ListParagraph"/>
        <w:numPr>
          <w:ilvl w:val="0"/>
          <w:numId w:val="2"/>
        </w:numPr>
        <w:spacing w:after="90" w:line="320"/>
      </w:pPr>
      <w:r>
        <w:rPr>
          <w:rFonts w:ascii="Calibri" w:cs="Calibri" w:eastAsia="Calibri" w:hAnsi="Calibri"/>
          <w:color w:val="1A1A1A"/>
          <w:sz w:val="22"/>
          <w:szCs w:val="22"/>
        </w:rPr>
        <w:t xml:space="preserve">Should cyber posture be elevated to a standing Board agenda item? The Committee's view: yes. Recommendation to Board for endorsement.</w:t>
      </w:r>
    </w:p>
    <w:p>
      <w:pPr>
        <w:pStyle w:val="Heading2"/>
        <w:spacing w:after="160" w:before="300"/>
      </w:pPr>
      <w:r>
        <w:rPr>
          <w:rFonts w:ascii="Georgia" w:cs="Georgia" w:eastAsia="Georgia" w:hAnsi="Georgia"/>
          <w:b/>
          <w:bCs/>
          <w:color w:val="1A1A1A"/>
          <w:sz w:val="25"/>
          <w:szCs w:val="25"/>
        </w:rPr>
        <w:t xml:space="preserve">Item 5 — Internal Audit programme status</w:t>
      </w:r>
    </w:p>
    <w:p>
      <w:pPr>
        <w:spacing w:after="140" w:before="0" w:line="320"/>
        <w:jc w:val="left"/>
      </w:pPr>
      <w:r>
        <w:rPr>
          <w:rFonts w:ascii="Calibri" w:cs="Calibri" w:eastAsia="Calibri" w:hAnsi="Calibri"/>
          <w:b w:val="false"/>
          <w:bCs w:val="false"/>
          <w:i w:val="false"/>
          <w:iCs w:val="false"/>
          <w:color w:val="1A1A1A"/>
          <w:sz w:val="22"/>
          <w:szCs w:val="22"/>
        </w:rPr>
        <w:t xml:space="preserve">Internal Audit completed three reviews during January (Treasury Operations, Branch Cash Management, Digital Channel Identity Verification) producing 14 findings (4 high-risk, 8 medium-risk, 2 low-risk). The Treasury Operations review identified the control weakness exploited in the BEC event; remediation is in progress.</w:t>
      </w:r>
    </w:p>
    <w:p>
      <w:pPr>
        <w:spacing w:after="140" w:before="0" w:line="320"/>
        <w:jc w:val="left"/>
      </w:pPr>
      <w:r>
        <w:rPr>
          <w:rFonts w:ascii="Calibri" w:cs="Calibri" w:eastAsia="Calibri" w:hAnsi="Calibri"/>
          <w:b w:val="false"/>
          <w:bCs w:val="false"/>
          <w:i w:val="false"/>
          <w:iCs w:val="false"/>
          <w:color w:val="1A1A1A"/>
          <w:sz w:val="22"/>
          <w:szCs w:val="22"/>
        </w:rPr>
        <w:t xml:space="preserve">Mary Achieng (Head of Internal Audit) confirmed retirement effective 31 December 2026. Search for successor is underway; longlist of six candidates has been screened. Audit Committee will be briefed on shortlist at March meeting.</w:t>
      </w:r>
    </w:p>
    <w:p>
      <w:pPr>
        <w:pStyle w:val="Heading2"/>
        <w:spacing w:after="160" w:before="300"/>
      </w:pPr>
      <w:r>
        <w:rPr>
          <w:rFonts w:ascii="Georgia" w:cs="Georgia" w:eastAsia="Georgia" w:hAnsi="Georgia"/>
          <w:b/>
          <w:bCs/>
          <w:color w:val="1A1A1A"/>
          <w:sz w:val="25"/>
          <w:szCs w:val="25"/>
        </w:rPr>
        <w:t xml:space="preserve">Decisions requested from the Audit Committee</w:t>
      </w:r>
    </w:p>
    <w:p>
      <w:pPr>
        <w:pStyle w:val="ListParagraph"/>
        <w:numPr>
          <w:ilvl w:val="0"/>
          <w:numId w:val="2"/>
        </w:numPr>
        <w:spacing w:after="90" w:line="320"/>
      </w:pPr>
      <w:r>
        <w:rPr>
          <w:rFonts w:ascii="Calibri" w:cs="Calibri" w:eastAsia="Calibri" w:hAnsi="Calibri"/>
          <w:color w:val="1A1A1A"/>
          <w:sz w:val="22"/>
          <w:szCs w:val="22"/>
        </w:rPr>
        <w:t xml:space="preserve">Endorse provisioning trajectory and recommendations to be carried to the Board.</w:t>
      </w:r>
    </w:p>
    <w:p>
      <w:pPr>
        <w:pStyle w:val="ListParagraph"/>
        <w:numPr>
          <w:ilvl w:val="0"/>
          <w:numId w:val="2"/>
        </w:numPr>
        <w:spacing w:after="90" w:line="320"/>
      </w:pPr>
      <w:r>
        <w:rPr>
          <w:rFonts w:ascii="Calibri" w:cs="Calibri" w:eastAsia="Calibri" w:hAnsi="Calibri"/>
          <w:color w:val="1A1A1A"/>
          <w:sz w:val="22"/>
          <w:szCs w:val="22"/>
        </w:rPr>
        <w:t xml:space="preserve">Approve Findings Remediation Tracker and 90-day closure targets.</w:t>
      </w:r>
    </w:p>
    <w:p>
      <w:pPr>
        <w:pStyle w:val="ListParagraph"/>
        <w:numPr>
          <w:ilvl w:val="0"/>
          <w:numId w:val="2"/>
        </w:numPr>
        <w:spacing w:after="90" w:line="320"/>
      </w:pPr>
      <w:r>
        <w:rPr>
          <w:rFonts w:ascii="Calibri" w:cs="Calibri" w:eastAsia="Calibri" w:hAnsi="Calibri"/>
          <w:color w:val="1A1A1A"/>
          <w:sz w:val="22"/>
          <w:szCs w:val="22"/>
        </w:rPr>
        <w:t xml:space="preserve">Approve recommendation to elevate cyber posture to standing Board agenda item.</w:t>
      </w:r>
    </w:p>
    <w:p>
      <w:pPr>
        <w:pStyle w:val="ListParagraph"/>
        <w:numPr>
          <w:ilvl w:val="0"/>
          <w:numId w:val="2"/>
        </w:numPr>
        <w:spacing w:after="90" w:line="320"/>
      </w:pPr>
      <w:r>
        <w:rPr>
          <w:rFonts w:ascii="Calibri" w:cs="Calibri" w:eastAsia="Calibri" w:hAnsi="Calibri"/>
          <w:color w:val="1A1A1A"/>
          <w:sz w:val="22"/>
          <w:szCs w:val="22"/>
        </w:rPr>
        <w:t xml:space="preserve">Note Internal Audit programme status and Head of Internal Audit succession timeline.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3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Audit Committee — 8 February 2026</w:t>
      </w:r>
    </w:p>
    <w:p>
      <w:pPr>
        <w:spacing w:after="240"/>
      </w:pPr>
      <w:r>
        <w:rPr>
          <w:rFonts w:ascii="Georgia" w:cs="Georgia" w:eastAsia="Georgia" w:hAnsi="Georgia"/>
          <w:i/>
          <w:iCs/>
          <w:color w:val="2B2B2A"/>
          <w:sz w:val="26"/>
          <w:szCs w:val="26"/>
        </w:rPr>
        <w:t xml:space="preserve">Confidential — Committee members and senior management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Saturday, 8 February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09:30 — 12:15</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Ubora Bank Head Office, Nairobi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 (4 of 4 members present)</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Minutes prepared by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Catherine Onyango (Company Secretary)</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 and apologies</w:t>
      </w:r>
    </w:p>
    <w:p>
      <w:pPr>
        <w:spacing w:after="140" w:before="0" w:line="320"/>
        <w:jc w:val="left"/>
      </w:pPr>
      <w:r>
        <w:rPr>
          <w:rFonts w:ascii="Calibri" w:cs="Calibri" w:eastAsia="Calibri" w:hAnsi="Calibri"/>
          <w:b w:val="false"/>
          <w:bCs w:val="false"/>
          <w:i w:val="false"/>
          <w:iCs w:val="false"/>
          <w:color w:val="1A1A1A"/>
          <w:sz w:val="22"/>
          <w:szCs w:val="22"/>
        </w:rPr>
        <w:t xml:space="preserve">Present: Bram Mwalo (Chair), Wanjiku Karanja, David Otieno, Susan Mwende. Management attendees: James Kiprop (CEO), Margaret Wambui (CFO), Daniel Mutua (CRO), Mary Achieng (Head of Internal Audit). Catherine Onyango (Company Secretary) attended in her secretarial capacity.</w:t>
      </w:r>
    </w:p>
    <w:p>
      <w:pPr>
        <w:spacing w:after="140" w:before="0" w:line="320"/>
        <w:jc w:val="left"/>
      </w:pPr>
      <w:r>
        <w:rPr>
          <w:rFonts w:ascii="Calibri" w:cs="Calibri" w:eastAsia="Calibri" w:hAnsi="Calibri"/>
          <w:b w:val="false"/>
          <w:bCs w:val="false"/>
          <w:i w:val="false"/>
          <w:iCs w:val="false"/>
          <w:color w:val="1A1A1A"/>
          <w:sz w:val="22"/>
          <w:szCs w:val="22"/>
        </w:rPr>
        <w:t xml:space="preserve">No apologies received. The Chair confirmed quorum and opened the meeting at 09:30.</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No new declarations of interest were tabled. The standing register of interests was reviewed and confirmed current. Wanjiku Karanja noted that her advisory work with a fintech vendor unrelated to Ubora Bank's existing technology relationships had concluded in late January; the register has been updated accordingly.</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The minutes of the meeting held on 11 January 2026 were tabled and confirmed as a true record. Proposed by David Otieno, seconded by Susan Mwende. Carried unanimously.</w:t>
      </w:r>
    </w:p>
    <w:p>
      <w:pPr>
        <w:pStyle w:val="Heading2"/>
        <w:spacing w:after="160" w:before="300"/>
      </w:pPr>
      <w:r>
        <w:rPr>
          <w:rFonts w:ascii="Georgia" w:cs="Georgia" w:eastAsia="Georgia" w:hAnsi="Georgia"/>
          <w:b/>
          <w:bCs/>
          <w:color w:val="1A1A1A"/>
          <w:sz w:val="25"/>
          <w:szCs w:val="25"/>
        </w:rPr>
        <w:t xml:space="preserve">4. Action items from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reviewed the action register from January. Six of seven action items are closed. The outstanding item — refreshing the provisioning model assumptions for the corporate book — has been deferred to the March meeting at management's request. The Chair noted his expectation that the refresh be presented in March without further deferral.</w:t>
      </w:r>
    </w:p>
    <w:p>
      <w:pPr>
        <w:pStyle w:val="Heading2"/>
        <w:spacing w:after="160" w:before="300"/>
      </w:pPr>
      <w:r>
        <w:rPr>
          <w:rFonts w:ascii="Georgia" w:cs="Georgia" w:eastAsia="Georgia" w:hAnsi="Georgia"/>
          <w:b/>
          <w:bCs/>
          <w:color w:val="1A1A1A"/>
          <w:sz w:val="25"/>
          <w:szCs w:val="25"/>
        </w:rPr>
        <w:t xml:space="preserve">5. Item 1 — Provisioning adequacy review</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January provisioning position. Coverage stood at 41% against the regulatory minimum of 50%. The Bank had booked KES 95 million in additional provisions during January. NPL formation of KES 160 million had outpaced provisioning.</w:t>
      </w:r>
    </w:p>
    <w:p>
      <w:pPr>
        <w:spacing w:after="140" w:before="0" w:line="320"/>
        <w:jc w:val="left"/>
      </w:pPr>
      <w:r>
        <w:rPr>
          <w:rFonts w:ascii="Calibri" w:cs="Calibri" w:eastAsia="Calibri" w:hAnsi="Calibri"/>
          <w:b w:val="false"/>
          <w:bCs w:val="false"/>
          <w:i w:val="false"/>
          <w:iCs w:val="false"/>
          <w:color w:val="1A1A1A"/>
          <w:sz w:val="22"/>
          <w:szCs w:val="22"/>
        </w:rPr>
        <w:t xml:space="preserve">The Chair (Bram Mwalo) opened questioning. He expressed concern that the management plan to close Q1 at 50% coverage assumed NPL formation slowing to KES 120-140 million per month from February — a material assumption that had not been demonstrated by data. He asked the CFO whether the assumption was based on observed early-February data or on planning expectation alone.</w:t>
      </w:r>
    </w:p>
    <w:p>
      <w:pPr>
        <w:spacing w:after="140" w:before="0" w:line="320"/>
        <w:jc w:val="left"/>
      </w:pPr>
      <w:r>
        <w:rPr>
          <w:rFonts w:ascii="Calibri" w:cs="Calibri" w:eastAsia="Calibri" w:hAnsi="Calibri"/>
          <w:b w:val="false"/>
          <w:bCs w:val="false"/>
          <w:i w:val="false"/>
          <w:iCs w:val="false"/>
          <w:color w:val="1A1A1A"/>
          <w:sz w:val="22"/>
          <w:szCs w:val="22"/>
        </w:rPr>
        <w:t xml:space="preserve">The CFO confirmed the assumption was based on planning expectation, with limited early-February confirmation. The Chair requested that management bring updated NPL formation data to the next meeting and that, if the slowdown was not materialising, an additional KES 50 million provisioning tranche be added to the Q1 plan.</w:t>
      </w:r>
    </w:p>
    <w:p>
      <w:pPr>
        <w:spacing w:after="140" w:before="0" w:line="320"/>
        <w:jc w:val="left"/>
      </w:pPr>
      <w:r>
        <w:rPr>
          <w:rFonts w:ascii="Calibri" w:cs="Calibri" w:eastAsia="Calibri" w:hAnsi="Calibri"/>
          <w:b w:val="false"/>
          <w:bCs w:val="false"/>
          <w:i w:val="false"/>
          <w:iCs w:val="false"/>
          <w:color w:val="1A1A1A"/>
          <w:sz w:val="22"/>
          <w:szCs w:val="22"/>
        </w:rPr>
        <w:t xml:space="preserve">Wanjiku Karanja asked whether the digital lending provisioning model refresh could be brought forward from Q2 to Q1. The CFO indicated the refresh could be initiated immediately but full implementation would require external advisor support and was unlikely to be operational before April.</w:t>
      </w:r>
    </w:p>
    <w:p>
      <w:pPr>
        <w:spacing w:after="140" w:before="0" w:line="320"/>
        <w:jc w:val="left"/>
      </w:pPr>
      <w:r>
        <w:rPr>
          <w:rFonts w:ascii="Calibri" w:cs="Calibri" w:eastAsia="Calibri" w:hAnsi="Calibri"/>
          <w:b w:val="false"/>
          <w:bCs w:val="false"/>
          <w:i w:val="false"/>
          <w:iCs w:val="false"/>
          <w:color w:val="1A1A1A"/>
          <w:sz w:val="22"/>
          <w:szCs w:val="22"/>
        </w:rPr>
        <w:t xml:space="preserve">David Otieno asked about the CBK supervisory posture. The CEO confirmed the written statement of action filed on 6 February had been acknowledged by the supervisory team without further immediate query.</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recommend to the Board: endorsement of the existing provisioning trajectory subject to monthly verification; immediate initiation of the digital lending provisioning model refresh; engagement of PwC for an interim provisioning adequacy review by 30 April 2026; and ongoing CBK engagement on the trajectory. The Chair confirmed he would carry the recommendations to the May Board meeting.</w:t>
      </w:r>
    </w:p>
    <w:p>
      <w:pPr>
        <w:pStyle w:val="Heading2"/>
        <w:spacing w:after="160" w:before="300"/>
      </w:pPr>
      <w:r>
        <w:rPr>
          <w:rFonts w:ascii="Georgia" w:cs="Georgia" w:eastAsia="Georgia" w:hAnsi="Georgia"/>
          <w:b/>
          <w:bCs/>
          <w:color w:val="1A1A1A"/>
          <w:sz w:val="25"/>
          <w:szCs w:val="25"/>
        </w:rPr>
        <w:t xml:space="preserve">6. Item 2 — Audit findings status</w:t>
      </w:r>
    </w:p>
    <w:p>
      <w:pPr>
        <w:spacing w:after="140" w:before="0" w:line="320"/>
        <w:jc w:val="left"/>
      </w:pPr>
      <w:r>
        <w:rPr>
          <w:rFonts w:ascii="Calibri" w:cs="Calibri" w:eastAsia="Calibri" w:hAnsi="Calibri"/>
          <w:b w:val="false"/>
          <w:bCs w:val="false"/>
          <w:i w:val="false"/>
          <w:iCs w:val="false"/>
          <w:color w:val="1A1A1A"/>
          <w:sz w:val="22"/>
          <w:szCs w:val="22"/>
        </w:rPr>
        <w:t xml:space="preserve">The Head of Internal Audit presented the findings status. Open findings at January month-end: 38 (13 high-risk). Three high-risk findings outstanding over twelve months.</w:t>
      </w:r>
    </w:p>
    <w:p>
      <w:pPr>
        <w:spacing w:after="140" w:before="0" w:line="320"/>
        <w:jc w:val="left"/>
      </w:pPr>
      <w:r>
        <w:rPr>
          <w:rFonts w:ascii="Calibri" w:cs="Calibri" w:eastAsia="Calibri" w:hAnsi="Calibri"/>
          <w:b w:val="false"/>
          <w:bCs w:val="false"/>
          <w:i w:val="false"/>
          <w:iCs w:val="false"/>
          <w:color w:val="1A1A1A"/>
          <w:sz w:val="22"/>
          <w:szCs w:val="22"/>
        </w:rPr>
        <w:t xml:space="preserve">The Chair noted that the volume of open findings had tripled over the previous twelve months and that the high-risk subset had moved from 4 to 13. He observed that this represented either a real deterioration in the control environment, an improvement in detection capability, or both — and that the Committee should understand which.</w:t>
      </w:r>
    </w:p>
    <w:p>
      <w:pPr>
        <w:spacing w:after="140" w:before="0" w:line="320"/>
        <w:jc w:val="left"/>
      </w:pPr>
      <w:r>
        <w:rPr>
          <w:rFonts w:ascii="Calibri" w:cs="Calibri" w:eastAsia="Calibri" w:hAnsi="Calibri"/>
          <w:b w:val="false"/>
          <w:bCs w:val="false"/>
          <w:i w:val="false"/>
          <w:iCs w:val="false"/>
          <w:color w:val="1A1A1A"/>
          <w:sz w:val="22"/>
          <w:szCs w:val="22"/>
        </w:rPr>
        <w:t xml:space="preserve">Mary Achieng responded that the increase was a combination: stronger Internal Audit coverage had surfaced findings that would previously have gone undetected, but the underlying control environment had also weakened in specific areas, particularly digital lending operations and IT/cyber. She presented a breakdown distinguishing newly-surfaced findings from genuine deterioration.</w:t>
      </w:r>
    </w:p>
    <w:p>
      <w:pPr>
        <w:spacing w:after="140" w:before="0" w:line="320"/>
        <w:jc w:val="left"/>
      </w:pPr>
      <w:r>
        <w:rPr>
          <w:rFonts w:ascii="Calibri" w:cs="Calibri" w:eastAsia="Calibri" w:hAnsi="Calibri"/>
          <w:b w:val="false"/>
          <w:bCs w:val="false"/>
          <w:i w:val="false"/>
          <w:iCs w:val="false"/>
          <w:color w:val="1A1A1A"/>
          <w:sz w:val="22"/>
          <w:szCs w:val="22"/>
        </w:rPr>
        <w:t xml:space="preserve">Susan Mwende asked whether the proposed Findings Remediation Tracker would have prevented any of the three findings outstanding over twelve months. Mary Achieng responded that the AML transaction monitoring finding had been subject to monthly tracking but escalation to executive level had not occurred until the CBK self-report was filed; the tracker would not have prevented the underlying delay but would have surfaced the escalation gap earlier.</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establish the Findings Remediation Tracker effective from the March meeting; set a 90-day closure target for the three findings outstanding over twelve months, with escalation to CEO and Board Chair if not closed by 31 March 2026; and recommend Internal Audit headcount expansion of two FTEs to the full Board at May. The Chair to carry the recommendations to the Board.</w:t>
      </w:r>
    </w:p>
    <w:p>
      <w:pPr>
        <w:pStyle w:val="Heading2"/>
        <w:spacing w:after="160" w:before="300"/>
      </w:pPr>
      <w:r>
        <w:rPr>
          <w:rFonts w:ascii="Georgia" w:cs="Georgia" w:eastAsia="Georgia" w:hAnsi="Georgia"/>
          <w:b/>
          <w:bCs/>
          <w:color w:val="1A1A1A"/>
          <w:sz w:val="25"/>
          <w:szCs w:val="25"/>
        </w:rPr>
        <w:t xml:space="preserve">7. Item 3 — AML transaction monitoring remediation</w:t>
      </w:r>
    </w:p>
    <w:p>
      <w:pPr>
        <w:spacing w:after="140" w:before="0" w:line="320"/>
        <w:jc w:val="left"/>
      </w:pPr>
      <w:r>
        <w:rPr>
          <w:rFonts w:ascii="Calibri" w:cs="Calibri" w:eastAsia="Calibri" w:hAnsi="Calibri"/>
          <w:b w:val="false"/>
          <w:bCs w:val="false"/>
          <w:i w:val="false"/>
          <w:iCs w:val="false"/>
          <w:color w:val="1A1A1A"/>
          <w:sz w:val="22"/>
          <w:szCs w:val="22"/>
        </w:rPr>
        <w:t xml:space="preserve">The CRO confirmed transaction monitoring rule recalibration completed on 28 January and now in production observation. Internal Audit post-implementation review scheduled for March.</w:t>
      </w:r>
    </w:p>
    <w:p>
      <w:pPr>
        <w:spacing w:after="140" w:before="0" w:line="320"/>
        <w:jc w:val="left"/>
      </w:pPr>
      <w:r>
        <w:rPr>
          <w:rFonts w:ascii="Calibri" w:cs="Calibri" w:eastAsia="Calibri" w:hAnsi="Calibri"/>
          <w:b w:val="false"/>
          <w:bCs w:val="false"/>
          <w:i w:val="false"/>
          <w:iCs w:val="false"/>
          <w:color w:val="1A1A1A"/>
          <w:sz w:val="22"/>
          <w:szCs w:val="22"/>
        </w:rPr>
        <w:t xml:space="preserve">Wanjiku Karanja asked whether the Committee should expect any rebound in flagged transactions from the recalibration. The CRO confirmed flagged transaction volume had increased by approximately 40% in the first two weeks of February — consistent with the more sensitive recalibration — and that operational capacity had been expanded to handle the additional review workload.</w:t>
      </w:r>
    </w:p>
    <w:p>
      <w:pPr>
        <w:spacing w:after="140" w:before="0" w:line="320"/>
        <w:jc w:val="left"/>
      </w:pPr>
      <w:r>
        <w:rPr>
          <w:rFonts w:ascii="Calibri" w:cs="Calibri" w:eastAsia="Calibri" w:hAnsi="Calibri"/>
          <w:b w:val="false"/>
          <w:bCs w:val="false"/>
          <w:i w:val="false"/>
          <w:iCs w:val="false"/>
          <w:color w:val="1A1A1A"/>
          <w:sz w:val="22"/>
          <w:szCs w:val="22"/>
        </w:rPr>
        <w:t xml:space="preserve">The Chair noted his expectation that the post-implementation review be presented at the March meeting and that the formal CBK self-report closure be ready for filing by end of March if Internal Audit confirms remediation effectiveness.</w:t>
      </w:r>
    </w:p>
    <w:p>
      <w:pPr>
        <w:pStyle w:val="Heading2"/>
        <w:spacing w:after="160" w:before="300"/>
      </w:pPr>
      <w:r>
        <w:rPr>
          <w:rFonts w:ascii="Georgia" w:cs="Georgia" w:eastAsia="Georgia" w:hAnsi="Georgia"/>
          <w:b/>
          <w:bCs/>
          <w:color w:val="1A1A1A"/>
          <w:sz w:val="25"/>
          <w:szCs w:val="25"/>
        </w:rPr>
        <w:t xml:space="preserve">8. Item 4 — Cyber event review</w:t>
      </w:r>
    </w:p>
    <w:p>
      <w:pPr>
        <w:spacing w:after="140" w:before="0" w:line="320"/>
        <w:jc w:val="left"/>
      </w:pPr>
      <w:r>
        <w:rPr>
          <w:rFonts w:ascii="Calibri" w:cs="Calibri" w:eastAsia="Calibri" w:hAnsi="Calibri"/>
          <w:b w:val="false"/>
          <w:bCs w:val="false"/>
          <w:i w:val="false"/>
          <w:iCs w:val="false"/>
          <w:color w:val="1A1A1A"/>
          <w:sz w:val="22"/>
          <w:szCs w:val="22"/>
        </w:rPr>
        <w:t xml:space="preserve">The CRO presented the BEC and phishing events. The CEO addressed direct questions on root cause and management response.</w:t>
      </w:r>
    </w:p>
    <w:p>
      <w:pPr>
        <w:spacing w:after="140" w:before="0" w:line="320"/>
        <w:jc w:val="left"/>
      </w:pPr>
      <w:r>
        <w:rPr>
          <w:rFonts w:ascii="Calibri" w:cs="Calibri" w:eastAsia="Calibri" w:hAnsi="Calibri"/>
          <w:b w:val="false"/>
          <w:bCs w:val="false"/>
          <w:i w:val="false"/>
          <w:iCs w:val="false"/>
          <w:color w:val="1A1A1A"/>
          <w:sz w:val="22"/>
          <w:szCs w:val="22"/>
        </w:rPr>
        <w:t xml:space="preserve">The Chair asked specifically about the timing of the BEC event detection — KES 4 million was disbursed before final detection. The CEO confirmed the disbursement had occurred during a high-volume processing window and that the impersonation message had replicated recent vendor communication patterns. The vendor-confirmation control had been strengthened post-event with additional levels of verification.</w:t>
      </w:r>
    </w:p>
    <w:p>
      <w:pPr>
        <w:spacing w:after="140" w:before="0" w:line="320"/>
        <w:jc w:val="left"/>
      </w:pPr>
      <w:r>
        <w:rPr>
          <w:rFonts w:ascii="Calibri" w:cs="Calibri" w:eastAsia="Calibri" w:hAnsi="Calibri"/>
          <w:b w:val="false"/>
          <w:bCs w:val="false"/>
          <w:i w:val="false"/>
          <w:iCs w:val="false"/>
          <w:color w:val="1A1A1A"/>
          <w:sz w:val="22"/>
          <w:szCs w:val="22"/>
        </w:rPr>
        <w:t xml:space="preserve">David Otieno asked whether the broader trajectory of cyber attempts (565 monthly in January, up from approximately 400 in October 2025) warranted elevation to a standing Board agenda item. The Chair indicated the Committee's preliminary view was yes; the recommendation would be carried to the Board.</w:t>
      </w:r>
    </w:p>
    <w:p>
      <w:pPr>
        <w:spacing w:after="140" w:before="0" w:line="320"/>
        <w:jc w:val="left"/>
      </w:pPr>
      <w:r>
        <w:rPr>
          <w:rFonts w:ascii="Calibri" w:cs="Calibri" w:eastAsia="Calibri" w:hAnsi="Calibri"/>
          <w:b w:val="false"/>
          <w:bCs w:val="false"/>
          <w:i w:val="false"/>
          <w:iCs w:val="false"/>
          <w:color w:val="1A1A1A"/>
          <w:sz w:val="22"/>
          <w:szCs w:val="22"/>
        </w:rPr>
        <w:t xml:space="preserve">Susan Mwende asked about the third-party cyber tooling assessment that had been commissioned in November. The CRO confirmed the assessment was now in draft and would be presented to the Committee in March, with implementation recommendations.</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receive the cyber events review; recommend to the Board that cyber posture be elevated to a standing Board agenda item; and request the third-party cyber tooling assessment be presented at the March Committee meeting.</w:t>
      </w:r>
    </w:p>
    <w:p>
      <w:pPr>
        <w:pStyle w:val="Heading2"/>
        <w:spacing w:after="160" w:before="300"/>
      </w:pPr>
      <w:r>
        <w:rPr>
          <w:rFonts w:ascii="Georgia" w:cs="Georgia" w:eastAsia="Georgia" w:hAnsi="Georgia"/>
          <w:b/>
          <w:bCs/>
          <w:color w:val="1A1A1A"/>
          <w:sz w:val="25"/>
          <w:szCs w:val="25"/>
        </w:rPr>
        <w:t xml:space="preserve">9. Item 5 — Internal Audit programme status</w:t>
      </w:r>
    </w:p>
    <w:p>
      <w:pPr>
        <w:spacing w:after="140" w:before="0" w:line="320"/>
        <w:jc w:val="left"/>
      </w:pPr>
      <w:r>
        <w:rPr>
          <w:rFonts w:ascii="Calibri" w:cs="Calibri" w:eastAsia="Calibri" w:hAnsi="Calibri"/>
          <w:b w:val="false"/>
          <w:bCs w:val="false"/>
          <w:i w:val="false"/>
          <w:iCs w:val="false"/>
          <w:color w:val="1A1A1A"/>
          <w:sz w:val="22"/>
          <w:szCs w:val="22"/>
        </w:rPr>
        <w:t xml:space="preserve">Mary Achieng confirmed retirement effective 31 December 2026. The succession process is underway; six candidates on longlist. Shortlist to be presented at the March Committee meeting.</w:t>
      </w:r>
    </w:p>
    <w:p>
      <w:pPr>
        <w:spacing w:after="140" w:before="0" w:line="320"/>
        <w:jc w:val="left"/>
      </w:pPr>
      <w:r>
        <w:rPr>
          <w:rFonts w:ascii="Calibri" w:cs="Calibri" w:eastAsia="Calibri" w:hAnsi="Calibri"/>
          <w:b w:val="false"/>
          <w:bCs w:val="false"/>
          <w:i w:val="false"/>
          <w:iCs w:val="false"/>
          <w:color w:val="1A1A1A"/>
          <w:sz w:val="22"/>
          <w:szCs w:val="22"/>
        </w:rPr>
        <w:t xml:space="preserve">The Chair acknowledged Mary Achieng's contribution and confirmed the Committee would brief the Board on succession timing at the May meeting.</w:t>
      </w:r>
    </w:p>
    <w:p>
      <w:pPr>
        <w:pStyle w:val="Heading2"/>
        <w:spacing w:after="160" w:before="300"/>
      </w:pPr>
      <w:r>
        <w:rPr>
          <w:rFonts w:ascii="Georgia" w:cs="Georgia" w:eastAsia="Georgia" w:hAnsi="Georgia"/>
          <w:b/>
          <w:bCs/>
          <w:color w:val="1A1A1A"/>
          <w:sz w:val="25"/>
          <w:szCs w:val="25"/>
        </w:rPr>
        <w:t xml:space="preserve">10. Any other business</w:t>
      </w:r>
    </w:p>
    <w:p>
      <w:pPr>
        <w:spacing w:after="140" w:before="0" w:line="320"/>
        <w:jc w:val="left"/>
      </w:pPr>
      <w:r>
        <w:rPr>
          <w:rFonts w:ascii="Calibri" w:cs="Calibri" w:eastAsia="Calibri" w:hAnsi="Calibri"/>
          <w:b w:val="false"/>
          <w:bCs w:val="false"/>
          <w:i w:val="false"/>
          <w:iCs w:val="false"/>
          <w:color w:val="1A1A1A"/>
          <w:sz w:val="22"/>
          <w:szCs w:val="22"/>
        </w:rPr>
        <w:t xml:space="preserve">None tabled.</w:t>
      </w:r>
    </w:p>
    <w:p>
      <w:pPr>
        <w:pStyle w:val="Heading2"/>
        <w:spacing w:after="160" w:before="300"/>
      </w:pPr>
      <w:r>
        <w:rPr>
          <w:rFonts w:ascii="Georgia" w:cs="Georgia" w:eastAsia="Georgia" w:hAnsi="Georgia"/>
          <w:b/>
          <w:bCs/>
          <w:color w:val="1A1A1A"/>
          <w:sz w:val="25"/>
          <w:szCs w:val="25"/>
        </w:rPr>
        <w:t xml:space="preserve">11.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The next Audit Committee meeting will be held on Saturday 8 March 2026 at 09:30 in the Boardroom.</w:t>
      </w:r>
    </w:p>
    <w:p>
      <w:pPr>
        <w:pStyle w:val="Heading2"/>
        <w:spacing w:after="160" w:before="300"/>
      </w:pPr>
      <w:r>
        <w:rPr>
          <w:rFonts w:ascii="Georgia" w:cs="Georgia" w:eastAsia="Georgia" w:hAnsi="Georgia"/>
          <w:b/>
          <w:bCs/>
          <w:color w:val="1A1A1A"/>
          <w:sz w:val="25"/>
          <w:szCs w:val="25"/>
        </w:rPr>
        <w:t xml:space="preserve">12. Closing</w:t>
      </w:r>
    </w:p>
    <w:p>
      <w:pPr>
        <w:spacing w:after="140" w:before="0" w:line="320"/>
        <w:jc w:val="left"/>
      </w:pPr>
      <w:r>
        <w:rPr>
          <w:rFonts w:ascii="Calibri" w:cs="Calibri" w:eastAsia="Calibri" w:hAnsi="Calibri"/>
          <w:b w:val="false"/>
          <w:bCs w:val="false"/>
          <w:i w:val="false"/>
          <w:iCs w:val="false"/>
          <w:color w:val="1A1A1A"/>
          <w:sz w:val="22"/>
          <w:szCs w:val="22"/>
        </w:rPr>
        <w:t xml:space="preserve">The meeting closed at 12:15. The Chair thanked all attendees.</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Bram Mwalo, Chair                                       Date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4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Management Report — February 2026</w:t>
      </w:r>
    </w:p>
    <w:p>
      <w:pPr>
        <w:spacing w:after="240"/>
      </w:pPr>
      <w:r>
        <w:rPr>
          <w:rFonts w:ascii="Georgia" w:cs="Georgia" w:eastAsia="Georgia" w:hAnsi="Georgia"/>
          <w:i/>
          <w:iCs/>
          <w:color w:val="2B2B2A"/>
          <w:sz w:val="26"/>
          <w:szCs w:val="26"/>
        </w:rPr>
        <w:t xml:space="preserve">Submitted by Executive Management to the Board of Directors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 February – 28 February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Submitted by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James Kiprop, Chief Executive Officer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submitted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 March 2026</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CEO's overview</w:t>
      </w:r>
    </w:p>
    <w:p>
      <w:pPr>
        <w:spacing w:after="140" w:before="0" w:line="320"/>
        <w:jc w:val="left"/>
      </w:pPr>
      <w:r>
        <w:rPr>
          <w:rFonts w:ascii="Calibri" w:cs="Calibri" w:eastAsia="Calibri" w:hAnsi="Calibri"/>
          <w:b w:val="false"/>
          <w:bCs w:val="false"/>
          <w:i w:val="false"/>
          <w:iCs w:val="false"/>
          <w:color w:val="1A1A1A"/>
          <w:sz w:val="22"/>
          <w:szCs w:val="22"/>
        </w:rPr>
        <w:t xml:space="preserve">February showed early signs of stabilisation in some areas and continued deterioration in others. The provisioning programme is on track to restore regulatory coverage by quarter end. NPL formation slowed marginally — KES 160 million in February versus KES 160 million in January, but the watch-list also slowed. The capital position remains tight but did not deteriorate further.</w:t>
      </w:r>
    </w:p>
    <w:p>
      <w:pPr>
        <w:spacing w:after="140" w:before="0" w:line="320"/>
        <w:jc w:val="left"/>
      </w:pPr>
      <w:r>
        <w:rPr>
          <w:rFonts w:ascii="Calibri" w:cs="Calibri" w:eastAsia="Calibri" w:hAnsi="Calibri"/>
          <w:b w:val="false"/>
          <w:bCs w:val="false"/>
          <w:i w:val="false"/>
          <w:iCs w:val="false"/>
          <w:color w:val="1A1A1A"/>
          <w:sz w:val="22"/>
          <w:szCs w:val="22"/>
        </w:rPr>
        <w:t xml:space="preserve">The most significant development of the month was the formal churn of MeshConnect — a mid-market corporate customer that had been on watch-list since October 2025. The exposure of KES 84 million is being managed through restructuring negotiations; outcome expected by end of March.</w:t>
      </w:r>
    </w:p>
    <w:p>
      <w:pPr>
        <w:spacing w:after="140" w:before="0" w:line="320"/>
        <w:jc w:val="left"/>
      </w:pPr>
      <w:r>
        <w:rPr>
          <w:rFonts w:ascii="Calibri" w:cs="Calibri" w:eastAsia="Calibri" w:hAnsi="Calibri"/>
          <w:b w:val="false"/>
          <w:bCs w:val="false"/>
          <w:i w:val="false"/>
          <w:iCs w:val="false"/>
          <w:color w:val="1A1A1A"/>
          <w:sz w:val="22"/>
          <w:szCs w:val="22"/>
        </w:rPr>
        <w:t xml:space="preserve">Three matters require Board attention: continued provisioning execution, the digital lending risk remediation programme finalisation for May Board approval, and a developing CBK supervisory engagement on cyber posture following the January BEC event disclosure.</w:t>
      </w:r>
    </w:p>
    <w:p>
      <w:pPr>
        <w:pStyle w:val="Heading2"/>
        <w:spacing w:after="160" w:before="300"/>
      </w:pPr>
      <w:r>
        <w:rPr>
          <w:rFonts w:ascii="Georgia" w:cs="Georgia" w:eastAsia="Georgia" w:hAnsi="Georgia"/>
          <w:b/>
          <w:bCs/>
          <w:color w:val="1A1A1A"/>
          <w:sz w:val="25"/>
          <w:szCs w:val="25"/>
        </w:rPr>
        <w:t xml:space="preserve">Financial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Feb 2026 actual</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Feb 2026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Jan 2026</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interest income</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228</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204</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Non-interest revenue</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146</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150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(2.7%)</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143</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Operating expenses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+5.2%</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199</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Provisions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102</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+45.7%</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Profit before tax</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(61.4%)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Profit after tax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31</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(61.3%)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37</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NIM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5.4%</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CTI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58.3%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53.4%</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+490 bps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57.3%</w:t>
            </w:r>
          </w:p>
        </w:tc>
      </w:tr>
    </w:tbl>
    <w:p>
      <w:pPr>
        <w:spacing w:after="18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February's variance to plan widened materially. Net interest income at KES 204 million was flat to January despite further loan book growth — the deposit cost inflation continued to accelerate while asset book repricing remained slow. Provisions at KES 102 million reflected the planned tranche of additional provisioning. Profit before tax at KES 44 million was 61% below plan.</w:t>
      </w:r>
    </w:p>
    <w:p>
      <w:pPr>
        <w:pStyle w:val="Heading2"/>
        <w:spacing w:after="160" w:before="300"/>
      </w:pPr>
      <w:r>
        <w:rPr>
          <w:rFonts w:ascii="Georgia" w:cs="Georgia" w:eastAsia="Georgia" w:hAnsi="Georgia"/>
          <w:b/>
          <w:bCs/>
          <w:color w:val="1A1A1A"/>
          <w:sz w:val="25"/>
          <w:szCs w:val="25"/>
        </w:rPr>
        <w:t xml:space="preserve">Loan book and credit quality</w:t>
      </w:r>
    </w:p>
    <w:p>
      <w:pPr>
        <w:spacing w:after="140" w:before="0" w:line="320"/>
        <w:jc w:val="left"/>
      </w:pPr>
      <w:r>
        <w:rPr>
          <w:rFonts w:ascii="Calibri" w:cs="Calibri" w:eastAsia="Calibri" w:hAnsi="Calibri"/>
          <w:b w:val="false"/>
          <w:bCs w:val="false"/>
          <w:i w:val="false"/>
          <w:iCs w:val="false"/>
          <w:color w:val="1A1A1A"/>
          <w:sz w:val="22"/>
          <w:szCs w:val="22"/>
        </w:rPr>
        <w:t xml:space="preserve">Net loan book reached KES 53.5 billion (+1.3% MoM). Growth slowed from January as management continued to hold real estate origination flat and constrained digital lending growth pending the remediation programme.</w:t>
      </w:r>
    </w:p>
    <w:p>
      <w:pPr>
        <w:spacing w:after="140" w:before="0" w:line="320"/>
        <w:jc w:val="left"/>
      </w:pPr>
      <w:r>
        <w:rPr>
          <w:rFonts w:ascii="Calibri" w:cs="Calibri" w:eastAsia="Calibri" w:hAnsi="Calibri"/>
          <w:b w:val="false"/>
          <w:bCs w:val="false"/>
          <w:i w:val="false"/>
          <w:iCs w:val="false"/>
          <w:color w:val="1A1A1A"/>
          <w:sz w:val="22"/>
          <w:szCs w:val="22"/>
        </w:rPr>
        <w:t xml:space="preserve">Non-performing loans grew to KES 2.90 billion (5.4% of loans). Notable additions: the MeshConnect exposure transitioned to NPL on 18 February (KES 84 million); two further real estate developer exposures (Imani Construction and a smaller exposure not yet on watch-list at start of month) entered watch-list status.</w:t>
      </w:r>
    </w:p>
    <w:p>
      <w:pPr>
        <w:spacing w:after="140" w:before="0" w:line="320"/>
        <w:jc w:val="left"/>
      </w:pPr>
      <w:r>
        <w:rPr>
          <w:rFonts w:ascii="Calibri" w:cs="Calibri" w:eastAsia="Calibri" w:hAnsi="Calibri"/>
          <w:b w:val="false"/>
          <w:bCs w:val="false"/>
          <w:i w:val="false"/>
          <w:iCs w:val="false"/>
          <w:color w:val="1A1A1A"/>
          <w:sz w:val="22"/>
          <w:szCs w:val="22"/>
        </w:rPr>
        <w:t xml:space="preserve">Watch-list balances grew to KES 3.42 billion (+4.3% MoM). The pace of watch-list growth slowed slightly in February, suggesting the Q1 NPL formation peak may be in February-March rather than later in the year.</w:t>
      </w:r>
    </w:p>
    <w:p>
      <w:pPr>
        <w:pStyle w:val="Heading2"/>
        <w:spacing w:after="160" w:before="300"/>
      </w:pPr>
      <w:r>
        <w:rPr>
          <w:rFonts w:ascii="Georgia" w:cs="Georgia" w:eastAsia="Georgia" w:hAnsi="Georgia"/>
          <w:b/>
          <w:bCs/>
          <w:color w:val="1A1A1A"/>
          <w:sz w:val="25"/>
          <w:szCs w:val="25"/>
        </w:rPr>
        <w:t xml:space="preserve">Provisioning</w:t>
      </w:r>
    </w:p>
    <w:p>
      <w:pPr>
        <w:spacing w:after="140" w:before="0" w:line="320"/>
        <w:jc w:val="left"/>
      </w:pPr>
      <w:r>
        <w:rPr>
          <w:rFonts w:ascii="Calibri" w:cs="Calibri" w:eastAsia="Calibri" w:hAnsi="Calibri"/>
          <w:b w:val="false"/>
          <w:bCs w:val="false"/>
          <w:i w:val="false"/>
          <w:iCs w:val="false"/>
          <w:color w:val="1A1A1A"/>
          <w:sz w:val="22"/>
          <w:szCs w:val="22"/>
        </w:rPr>
        <w:t xml:space="preserve">The Bank booked KES 102 million in additional provisions during February — on plan to close Q1 at the regulatory minimum of 50%. Coverage at month-end stood at 43%. The remaining tranche of KES 73 million in March will, if NPL formation does not exceed plan, restore coverage to 50% at quarter close.</w:t>
      </w:r>
    </w:p>
    <w:p>
      <w:pPr>
        <w:spacing w:after="140" w:before="0" w:line="320"/>
        <w:jc w:val="left"/>
      </w:pPr>
      <w:r>
        <w:rPr>
          <w:rFonts w:ascii="Calibri" w:cs="Calibri" w:eastAsia="Calibri" w:hAnsi="Calibri"/>
          <w:b w:val="false"/>
          <w:bCs w:val="false"/>
          <w:i w:val="false"/>
          <w:iCs w:val="false"/>
          <w:color w:val="1A1A1A"/>
          <w:sz w:val="22"/>
          <w:szCs w:val="22"/>
        </w:rPr>
        <w:t xml:space="preserve">PwC have been engaged for the interim provisioning adequacy review per the Audit Committee resolution. PwC fieldwork commences 25 March; report expected mid-April.</w:t>
      </w:r>
    </w:p>
    <w:p>
      <w:pPr>
        <w:spacing w:after="140" w:before="0" w:line="320"/>
        <w:jc w:val="left"/>
      </w:pPr>
      <w:r>
        <w:rPr>
          <w:rFonts w:ascii="Calibri" w:cs="Calibri" w:eastAsia="Calibri" w:hAnsi="Calibri"/>
          <w:b w:val="false"/>
          <w:bCs w:val="false"/>
          <w:i w:val="false"/>
          <w:iCs w:val="false"/>
          <w:color w:val="1A1A1A"/>
          <w:sz w:val="22"/>
          <w:szCs w:val="22"/>
        </w:rPr>
        <w:t xml:space="preserve">Engagement with CBK supervisory team continues. The team has acknowledged the trajectory and indicated no immediate intervention is contemplated subject to Q1 close demonstrating the planned coverage restoration.</w:t>
      </w:r>
    </w:p>
    <w:p>
      <w:pPr>
        <w:pStyle w:val="Heading2"/>
        <w:spacing w:after="160" w:before="300"/>
      </w:pPr>
      <w:r>
        <w:rPr>
          <w:rFonts w:ascii="Georgia" w:cs="Georgia" w:eastAsia="Georgia" w:hAnsi="Georgia"/>
          <w:b/>
          <w:bCs/>
          <w:color w:val="1A1A1A"/>
          <w:sz w:val="25"/>
          <w:szCs w:val="25"/>
        </w:rPr>
        <w:t xml:space="preserve">Capital and liquidity</w:t>
      </w:r>
    </w:p>
    <w:p>
      <w:pPr>
        <w:spacing w:after="140" w:before="0" w:line="320"/>
        <w:jc w:val="left"/>
      </w:pPr>
      <w:r>
        <w:rPr>
          <w:rFonts w:ascii="Calibri" w:cs="Calibri" w:eastAsia="Calibri" w:hAnsi="Calibri"/>
          <w:b w:val="false"/>
          <w:bCs w:val="false"/>
          <w:i w:val="false"/>
          <w:iCs w:val="false"/>
          <w:color w:val="1A1A1A"/>
          <w:sz w:val="22"/>
          <w:szCs w:val="22"/>
        </w:rPr>
        <w:t xml:space="preserve">CAR closed February at 14.36% — slight improvement reflecting Q1 retained earnings and slower RWA growth. Tier 1 ratio at 11.86%. The Tier 1 capital plan structuring continues; the Bank's debt advisor (Stanbic) presented preliminary structuring options on 17 February.</w:t>
      </w:r>
    </w:p>
    <w:p>
      <w:pPr>
        <w:spacing w:after="140" w:before="0" w:line="320"/>
        <w:jc w:val="left"/>
      </w:pPr>
      <w:r>
        <w:rPr>
          <w:rFonts w:ascii="Calibri" w:cs="Calibri" w:eastAsia="Calibri" w:hAnsi="Calibri"/>
          <w:b w:val="false"/>
          <w:bCs w:val="false"/>
          <w:i w:val="false"/>
          <w:iCs w:val="false"/>
          <w:color w:val="1A1A1A"/>
          <w:sz w:val="22"/>
          <w:szCs w:val="22"/>
        </w:rPr>
        <w:t xml:space="preserve">LCR closed at 113%. NSFR at 107%. Liquidity buffer compression continues but at slower pace.</w:t>
      </w:r>
    </w:p>
    <w:p>
      <w:pPr>
        <w:pStyle w:val="Heading2"/>
        <w:spacing w:after="160" w:before="300"/>
      </w:pPr>
      <w:r>
        <w:rPr>
          <w:rFonts w:ascii="Georgia" w:cs="Georgia" w:eastAsia="Georgia" w:hAnsi="Georgia"/>
          <w:b/>
          <w:bCs/>
          <w:color w:val="1A1A1A"/>
          <w:sz w:val="25"/>
          <w:szCs w:val="25"/>
        </w:rPr>
        <w:t xml:space="preserve">Digital banking</w:t>
      </w:r>
    </w:p>
    <w:p>
      <w:pPr>
        <w:spacing w:after="140" w:before="0" w:line="320"/>
        <w:jc w:val="left"/>
      </w:pPr>
      <w:r>
        <w:rPr>
          <w:rFonts w:ascii="Calibri" w:cs="Calibri" w:eastAsia="Calibri" w:hAnsi="Calibri"/>
          <w:b w:val="false"/>
          <w:bCs w:val="false"/>
          <w:i w:val="false"/>
          <w:iCs w:val="false"/>
          <w:color w:val="1A1A1A"/>
          <w:sz w:val="22"/>
          <w:szCs w:val="22"/>
        </w:rPr>
        <w:t xml:space="preserve">Active users at 415,000 (+3.2% MoM). Digital lending book at KES 4.40 billion (+6.0% MoM — slower than recent months as origination tightened ahead of remediation). NPL ratio in digital book at 8.6% (versus 8.2% in January).</w:t>
      </w:r>
    </w:p>
    <w:p>
      <w:pPr>
        <w:spacing w:after="140" w:before="0" w:line="320"/>
        <w:jc w:val="left"/>
      </w:pPr>
      <w:r>
        <w:rPr>
          <w:rFonts w:ascii="Calibri" w:cs="Calibri" w:eastAsia="Calibri" w:hAnsi="Calibri"/>
          <w:b w:val="false"/>
          <w:bCs w:val="false"/>
          <w:i w:val="false"/>
          <w:iCs w:val="false"/>
          <w:color w:val="1A1A1A"/>
          <w:sz w:val="22"/>
          <w:szCs w:val="22"/>
        </w:rPr>
        <w:t xml:space="preserve">The digital lending risk remediation programme paper is now in advanced draft. Anticipated Board paper for May meeting will recommend: pause on new digital product launches for Q2-Q3 2026; refresh of origination scoring (advisor: Deloitte engaged); rebuild of digital book collections infrastructure; cyber and fraud detection upgrade; capital allocation KES 280 million across Q2-Q3.</w:t>
      </w:r>
    </w:p>
    <w:p>
      <w:pPr>
        <w:pStyle w:val="Heading2"/>
        <w:spacing w:after="160" w:before="300"/>
      </w:pPr>
      <w:r>
        <w:rPr>
          <w:rFonts w:ascii="Georgia" w:cs="Georgia" w:eastAsia="Georgia" w:hAnsi="Georgia"/>
          <w:b/>
          <w:bCs/>
          <w:color w:val="1A1A1A"/>
          <w:sz w:val="25"/>
          <w:szCs w:val="25"/>
        </w:rPr>
        <w:t xml:space="preserve">Cyber and operational risk</w:t>
      </w:r>
    </w:p>
    <w:p>
      <w:pPr>
        <w:spacing w:after="140" w:before="0" w:line="320"/>
        <w:jc w:val="left"/>
      </w:pPr>
      <w:r>
        <w:rPr>
          <w:rFonts w:ascii="Calibri" w:cs="Calibri" w:eastAsia="Calibri" w:hAnsi="Calibri"/>
          <w:b w:val="false"/>
          <w:bCs w:val="false"/>
          <w:i w:val="false"/>
          <w:iCs w:val="false"/>
          <w:color w:val="1A1A1A"/>
          <w:sz w:val="22"/>
          <w:szCs w:val="22"/>
        </w:rPr>
        <w:t xml:space="preserve">February cyber attempts: 620 monthly. No major successful events. The third-party cyber tooling assessment commissioned in November is now in draft and will be presented to the Audit Committee in March with implementation recommendations.</w:t>
      </w:r>
    </w:p>
    <w:p>
      <w:pPr>
        <w:spacing w:after="140" w:before="0" w:line="320"/>
        <w:jc w:val="left"/>
      </w:pPr>
      <w:r>
        <w:rPr>
          <w:rFonts w:ascii="Calibri" w:cs="Calibri" w:eastAsia="Calibri" w:hAnsi="Calibri"/>
          <w:b w:val="false"/>
          <w:bCs w:val="false"/>
          <w:i w:val="false"/>
          <w:iCs w:val="false"/>
          <w:color w:val="1A1A1A"/>
          <w:sz w:val="22"/>
          <w:szCs w:val="22"/>
        </w:rPr>
        <w:t xml:space="preserve">Operational losses for February: KES 38 million. Significantly lower than January (KES 58 million). Composition: cyber/fraud (KES 12 million), insider events (KES 9 million), process events (KES 17 million).</w:t>
      </w:r>
    </w:p>
    <w:p>
      <w:pPr>
        <w:pStyle w:val="Heading2"/>
        <w:spacing w:after="160" w:before="300"/>
      </w:pPr>
      <w:r>
        <w:rPr>
          <w:rFonts w:ascii="Georgia" w:cs="Georgia" w:eastAsia="Georgia" w:hAnsi="Georgia"/>
          <w:b/>
          <w:bCs/>
          <w:color w:val="1A1A1A"/>
          <w:sz w:val="25"/>
          <w:szCs w:val="25"/>
        </w:rPr>
        <w:t xml:space="preserve">Compliance</w:t>
      </w:r>
    </w:p>
    <w:p>
      <w:pPr>
        <w:spacing w:after="140" w:before="0" w:line="320"/>
        <w:jc w:val="left"/>
      </w:pPr>
      <w:r>
        <w:rPr>
          <w:rFonts w:ascii="Calibri" w:cs="Calibri" w:eastAsia="Calibri" w:hAnsi="Calibri"/>
          <w:b w:val="false"/>
          <w:bCs w:val="false"/>
          <w:i w:val="false"/>
          <w:iCs w:val="false"/>
          <w:color w:val="1A1A1A"/>
          <w:sz w:val="22"/>
          <w:szCs w:val="22"/>
        </w:rPr>
        <w:t xml:space="preserve">AML transaction monitoring rule recalibration in production observation. Flagged transaction volume up 40% versus pre-recalibration baseline. Internal Audit post-implementation review scheduled for March.</w:t>
      </w:r>
    </w:p>
    <w:p>
      <w:pPr>
        <w:spacing w:after="140" w:before="0" w:line="320"/>
        <w:jc w:val="left"/>
      </w:pPr>
      <w:r>
        <w:rPr>
          <w:rFonts w:ascii="Calibri" w:cs="Calibri" w:eastAsia="Calibri" w:hAnsi="Calibri"/>
          <w:b w:val="false"/>
          <w:bCs w:val="false"/>
          <w:i w:val="false"/>
          <w:iCs w:val="false"/>
          <w:color w:val="1A1A1A"/>
          <w:sz w:val="22"/>
          <w:szCs w:val="22"/>
        </w:rPr>
        <w:t xml:space="preserve">No new compliance findings during the month. Open audit findings stable at 38 (13 high-risk). Two of the three findings outstanding over twelve months have remediation plans tracking to closure within the Audit Committee's 90-day target; the third (a process control finding in Branch Operations) is at risk.</w:t>
      </w:r>
    </w:p>
    <w:p>
      <w:pPr>
        <w:pStyle w:val="Heading2"/>
        <w:spacing w:after="160" w:before="300"/>
      </w:pPr>
      <w:r>
        <w:rPr>
          <w:rFonts w:ascii="Georgia" w:cs="Georgia" w:eastAsia="Georgia" w:hAnsi="Georgia"/>
          <w:b/>
          <w:bCs/>
          <w:color w:val="1A1A1A"/>
          <w:sz w:val="25"/>
          <w:szCs w:val="25"/>
        </w:rPr>
        <w:t xml:space="preserve">Recommendations to the Board</w:t>
      </w:r>
    </w:p>
    <w:p>
      <w:pPr>
        <w:pStyle w:val="ListParagraph"/>
        <w:numPr>
          <w:ilvl w:val="0"/>
          <w:numId w:val="2"/>
        </w:numPr>
        <w:spacing w:after="90" w:line="320"/>
      </w:pPr>
      <w:r>
        <w:rPr>
          <w:rFonts w:ascii="Calibri" w:cs="Calibri" w:eastAsia="Calibri" w:hAnsi="Calibri"/>
          <w:color w:val="1A1A1A"/>
          <w:sz w:val="22"/>
          <w:szCs w:val="22"/>
        </w:rPr>
        <w:t xml:space="preserve">Note the on-track provisioning execution and Q1 close trajectory.</w:t>
      </w:r>
    </w:p>
    <w:p>
      <w:pPr>
        <w:pStyle w:val="ListParagraph"/>
        <w:numPr>
          <w:ilvl w:val="0"/>
          <w:numId w:val="2"/>
        </w:numPr>
        <w:spacing w:after="90" w:line="320"/>
      </w:pPr>
      <w:r>
        <w:rPr>
          <w:rFonts w:ascii="Calibri" w:cs="Calibri" w:eastAsia="Calibri" w:hAnsi="Calibri"/>
          <w:color w:val="1A1A1A"/>
          <w:sz w:val="22"/>
          <w:szCs w:val="22"/>
        </w:rPr>
        <w:t xml:space="preserve">Receive the digital lending risk remediation programme paper outline; full paper to come to May Board.</w:t>
      </w:r>
    </w:p>
    <w:p>
      <w:pPr>
        <w:pStyle w:val="ListParagraph"/>
        <w:numPr>
          <w:ilvl w:val="0"/>
          <w:numId w:val="2"/>
        </w:numPr>
        <w:spacing w:after="90" w:line="320"/>
      </w:pPr>
      <w:r>
        <w:rPr>
          <w:rFonts w:ascii="Calibri" w:cs="Calibri" w:eastAsia="Calibri" w:hAnsi="Calibri"/>
          <w:color w:val="1A1A1A"/>
          <w:sz w:val="22"/>
          <w:szCs w:val="22"/>
        </w:rPr>
        <w:t xml:space="preserve">Note CBK engagement progress on provisioning trajectory and cyber posture.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5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Audit Committee Paper — February 2026</w:t>
      </w:r>
    </w:p>
    <w:p>
      <w:pPr>
        <w:spacing w:after="240"/>
      </w:pPr>
      <w:r>
        <w:rPr>
          <w:rFonts w:ascii="Georgia" w:cs="Georgia" w:eastAsia="Georgia" w:hAnsi="Georgia"/>
          <w:i/>
          <w:iCs/>
          <w:color w:val="2B2B2A"/>
          <w:sz w:val="26"/>
          <w:szCs w:val="26"/>
        </w:rPr>
        <w:t xml:space="preserve">For the Audit Committee meeting of 8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Meeting 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 March 2026, 09:30 — 12:30</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Members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Wanjiku Karanja, David Otieno, Susan Mwende</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Standing items</w:t>
      </w:r>
    </w:p>
    <w:p>
      <w:pPr>
        <w:pStyle w:val="ListParagraph"/>
        <w:numPr>
          <w:ilvl w:val="0"/>
          <w:numId w:val="2"/>
        </w:numPr>
        <w:spacing w:after="90" w:line="320"/>
      </w:pPr>
      <w:r>
        <w:rPr>
          <w:rFonts w:ascii="Calibri" w:cs="Calibri" w:eastAsia="Calibri" w:hAnsi="Calibri"/>
          <w:color w:val="1A1A1A"/>
          <w:sz w:val="22"/>
          <w:szCs w:val="22"/>
        </w:rPr>
        <w:t xml:space="preserve">Item 1. Provisioning adequacy review — February trajectory</w:t>
      </w:r>
    </w:p>
    <w:p>
      <w:pPr>
        <w:pStyle w:val="ListParagraph"/>
        <w:numPr>
          <w:ilvl w:val="0"/>
          <w:numId w:val="2"/>
        </w:numPr>
        <w:spacing w:after="90" w:line="320"/>
      </w:pPr>
      <w:r>
        <w:rPr>
          <w:rFonts w:ascii="Calibri" w:cs="Calibri" w:eastAsia="Calibri" w:hAnsi="Calibri"/>
          <w:color w:val="1A1A1A"/>
          <w:sz w:val="22"/>
          <w:szCs w:val="22"/>
        </w:rPr>
        <w:t xml:space="preserve">Item 2. Digital lending provisioning model refresh — initial findings</w:t>
      </w:r>
    </w:p>
    <w:p>
      <w:pPr>
        <w:pStyle w:val="ListParagraph"/>
        <w:numPr>
          <w:ilvl w:val="0"/>
          <w:numId w:val="2"/>
        </w:numPr>
        <w:spacing w:after="90" w:line="320"/>
      </w:pPr>
      <w:r>
        <w:rPr>
          <w:rFonts w:ascii="Calibri" w:cs="Calibri" w:eastAsia="Calibri" w:hAnsi="Calibri"/>
          <w:color w:val="1A1A1A"/>
          <w:sz w:val="22"/>
          <w:szCs w:val="22"/>
        </w:rPr>
        <w:t xml:space="preserve">Item 3. AML transaction monitoring post-implementation review preparation</w:t>
      </w:r>
    </w:p>
    <w:p>
      <w:pPr>
        <w:pStyle w:val="ListParagraph"/>
        <w:numPr>
          <w:ilvl w:val="0"/>
          <w:numId w:val="2"/>
        </w:numPr>
        <w:spacing w:after="90" w:line="320"/>
      </w:pPr>
      <w:r>
        <w:rPr>
          <w:rFonts w:ascii="Calibri" w:cs="Calibri" w:eastAsia="Calibri" w:hAnsi="Calibri"/>
          <w:color w:val="1A1A1A"/>
          <w:sz w:val="22"/>
          <w:szCs w:val="22"/>
        </w:rPr>
        <w:t xml:space="preserve">Item 4. Cyber tooling third-party assessment review</w:t>
      </w:r>
    </w:p>
    <w:p>
      <w:pPr>
        <w:pStyle w:val="ListParagraph"/>
        <w:numPr>
          <w:ilvl w:val="0"/>
          <w:numId w:val="2"/>
        </w:numPr>
        <w:spacing w:after="90" w:line="320"/>
      </w:pPr>
      <w:r>
        <w:rPr>
          <w:rFonts w:ascii="Calibri" w:cs="Calibri" w:eastAsia="Calibri" w:hAnsi="Calibri"/>
          <w:color w:val="1A1A1A"/>
          <w:sz w:val="22"/>
          <w:szCs w:val="22"/>
        </w:rPr>
        <w:t xml:space="preserve">Item 5. Internal Audit Head succession — shortlist presentation</w:t>
      </w:r>
    </w:p>
    <w:p>
      <w:pPr>
        <w:pStyle w:val="ListParagraph"/>
        <w:numPr>
          <w:ilvl w:val="0"/>
          <w:numId w:val="2"/>
        </w:numPr>
        <w:spacing w:after="90" w:line="320"/>
      </w:pPr>
      <w:r>
        <w:rPr>
          <w:rFonts w:ascii="Calibri" w:cs="Calibri" w:eastAsia="Calibri" w:hAnsi="Calibri"/>
          <w:color w:val="1A1A1A"/>
          <w:sz w:val="22"/>
          <w:szCs w:val="22"/>
        </w:rPr>
        <w:t xml:space="preserve">Item 6. Audit findings status</w:t>
      </w:r>
    </w:p>
    <w:p>
      <w:pPr>
        <w:pStyle w:val="Heading2"/>
        <w:spacing w:after="160" w:before="300"/>
      </w:pPr>
      <w:r>
        <w:rPr>
          <w:rFonts w:ascii="Georgia" w:cs="Georgia" w:eastAsia="Georgia" w:hAnsi="Georgia"/>
          <w:b/>
          <w:bCs/>
          <w:color w:val="1A1A1A"/>
          <w:sz w:val="25"/>
          <w:szCs w:val="25"/>
        </w:rPr>
        <w:t xml:space="preserve">Item 1 — Provisioning adequacy review (February)</w:t>
      </w:r>
    </w:p>
    <w:p>
      <w:pPr>
        <w:spacing w:after="140" w:before="0" w:line="320"/>
        <w:jc w:val="left"/>
      </w:pPr>
      <w:r>
        <w:rPr>
          <w:rFonts w:ascii="Calibri" w:cs="Calibri" w:eastAsia="Calibri" w:hAnsi="Calibri"/>
          <w:b w:val="false"/>
          <w:bCs w:val="false"/>
          <w:i w:val="false"/>
          <w:iCs w:val="false"/>
          <w:color w:val="1A1A1A"/>
          <w:sz w:val="22"/>
          <w:szCs w:val="22"/>
        </w:rPr>
        <w:t xml:space="preserve">Coverage at February month-end stood at 43% (up from 41% in January). The Bank booked KES 102 million in additional provisions during February. NPL formation of KES 160 million matched January's pace, slightly above the management plan assumption of KES 120-140 million.</w:t>
      </w:r>
    </w:p>
    <w:p>
      <w:pPr>
        <w:spacing w:after="140" w:before="0" w:line="320"/>
        <w:jc w:val="left"/>
      </w:pPr>
      <w:r>
        <w:rPr>
          <w:rFonts w:ascii="Calibri" w:cs="Calibri" w:eastAsia="Calibri" w:hAnsi="Calibri"/>
          <w:b w:val="false"/>
          <w:bCs w:val="false"/>
          <w:i w:val="false"/>
          <w:iCs w:val="false"/>
          <w:color w:val="1A1A1A"/>
          <w:sz w:val="22"/>
          <w:szCs w:val="22"/>
        </w:rPr>
        <w:t xml:space="preserve">If NPL formation in March matches February's pace, Q1 close coverage will be approximately 49% — marginally below the 50% regulatory minimum. The KES 73 million remaining provisioning tranche planned for March may need to be increased.</w:t>
      </w:r>
    </w:p>
    <w:p>
      <w:pPr>
        <w:pStyle w:val="Heading3"/>
        <w:spacing w:after="120" w:before="220"/>
      </w:pPr>
      <w:r>
        <w:rPr>
          <w:rFonts w:ascii="Calibri" w:cs="Calibri" w:eastAsia="Calibri" w:hAnsi="Calibri"/>
          <w:b/>
          <w:bCs/>
          <w:color w:val="1A1A1A"/>
          <w:sz w:val="22"/>
          <w:szCs w:val="22"/>
        </w:rPr>
        <w:t xml:space="preserve">Committee-relevant questions</w:t>
      </w:r>
    </w:p>
    <w:p>
      <w:pPr>
        <w:pStyle w:val="ListParagraph"/>
        <w:numPr>
          <w:ilvl w:val="0"/>
          <w:numId w:val="2"/>
        </w:numPr>
        <w:spacing w:after="90" w:line="320"/>
      </w:pPr>
      <w:r>
        <w:rPr>
          <w:rFonts w:ascii="Calibri" w:cs="Calibri" w:eastAsia="Calibri" w:hAnsi="Calibri"/>
          <w:color w:val="1A1A1A"/>
          <w:sz w:val="22"/>
          <w:szCs w:val="22"/>
        </w:rPr>
        <w:t xml:space="preserve">Should the March provisioning tranche be increased to ensure coverage closes at or above 50% regardless of NPL formation pace? The Committee may wish to recommend an additional KES 30-50 million provisioning be added to March's plan.</w:t>
      </w:r>
    </w:p>
    <w:p>
      <w:pPr>
        <w:pStyle w:val="ListParagraph"/>
        <w:numPr>
          <w:ilvl w:val="0"/>
          <w:numId w:val="2"/>
        </w:numPr>
        <w:spacing w:after="90" w:line="320"/>
      </w:pPr>
      <w:r>
        <w:rPr>
          <w:rFonts w:ascii="Calibri" w:cs="Calibri" w:eastAsia="Calibri" w:hAnsi="Calibri"/>
          <w:color w:val="1A1A1A"/>
          <w:sz w:val="22"/>
          <w:szCs w:val="22"/>
        </w:rPr>
        <w:t xml:space="preserve">How does the PwC interim review interact with the Q1 close? PwC fieldwork begins 25 March, report expected mid-April. The interim review will not affect Q1 close but will inform Q2 planning.</w:t>
      </w:r>
    </w:p>
    <w:p>
      <w:pPr>
        <w:pStyle w:val="ListParagraph"/>
        <w:numPr>
          <w:ilvl w:val="0"/>
          <w:numId w:val="2"/>
        </w:numPr>
        <w:spacing w:after="90" w:line="320"/>
      </w:pPr>
      <w:r>
        <w:rPr>
          <w:rFonts w:ascii="Calibri" w:cs="Calibri" w:eastAsia="Calibri" w:hAnsi="Calibri"/>
          <w:color w:val="1A1A1A"/>
          <w:sz w:val="22"/>
          <w:szCs w:val="22"/>
        </w:rPr>
        <w:t xml:space="preserve">Has the digital lending provisioning model refresh produced early findings? Yes — see Item 2.</w:t>
      </w:r>
    </w:p>
    <w:p>
      <w:pPr>
        <w:pStyle w:val="Heading2"/>
        <w:spacing w:after="160" w:before="300"/>
      </w:pPr>
      <w:r>
        <w:rPr>
          <w:rFonts w:ascii="Georgia" w:cs="Georgia" w:eastAsia="Georgia" w:hAnsi="Georgia"/>
          <w:b/>
          <w:bCs/>
          <w:color w:val="1A1A1A"/>
          <w:sz w:val="25"/>
          <w:szCs w:val="25"/>
        </w:rPr>
        <w:t xml:space="preserve">Item 2 — Digital lending provisioning model refresh</w:t>
      </w:r>
    </w:p>
    <w:p>
      <w:pPr>
        <w:spacing w:after="140" w:before="0" w:line="320"/>
        <w:jc w:val="left"/>
      </w:pPr>
      <w:r>
        <w:rPr>
          <w:rFonts w:ascii="Calibri" w:cs="Calibri" w:eastAsia="Calibri" w:hAnsi="Calibri"/>
          <w:b w:val="false"/>
          <w:bCs w:val="false"/>
          <w:i w:val="false"/>
          <w:iCs w:val="false"/>
          <w:color w:val="1A1A1A"/>
          <w:sz w:val="22"/>
          <w:szCs w:val="22"/>
        </w:rPr>
        <w:t xml:space="preserve">Initial findings from the model refresh, conducted by Deloitte under engagement letter dated 14 February, indicate the existing model significantly under-provisions for the digital lending book. Refresh of the loss rate calibration to reflect 2025 vintage performance suggests appropriate provisioning rates of 6.5-7.5% on the digital book versus current rate of 4.2%.</w:t>
      </w:r>
    </w:p>
    <w:p>
      <w:pPr>
        <w:spacing w:after="140" w:before="0" w:line="320"/>
        <w:jc w:val="left"/>
      </w:pPr>
      <w:r>
        <w:rPr>
          <w:rFonts w:ascii="Calibri" w:cs="Calibri" w:eastAsia="Calibri" w:hAnsi="Calibri"/>
          <w:b w:val="false"/>
          <w:bCs w:val="false"/>
          <w:i w:val="false"/>
          <w:iCs w:val="false"/>
          <w:color w:val="1A1A1A"/>
          <w:sz w:val="22"/>
          <w:szCs w:val="22"/>
        </w:rPr>
        <w:t xml:space="preserve">If applied to the current digital book of KES 4.40 billion, the refreshed model implies additional provisioning of approximately KES 100-145 million. This is over and above the Q1 trajectory.</w:t>
      </w:r>
    </w:p>
    <w:p>
      <w:pPr>
        <w:pStyle w:val="Heading3"/>
        <w:spacing w:after="120" w:before="220"/>
      </w:pPr>
      <w:r>
        <w:rPr>
          <w:rFonts w:ascii="Calibri" w:cs="Calibri" w:eastAsia="Calibri" w:hAnsi="Calibri"/>
          <w:b/>
          <w:bCs/>
          <w:color w:val="1A1A1A"/>
          <w:sz w:val="22"/>
          <w:szCs w:val="22"/>
        </w:rPr>
        <w:t xml:space="preserve">Committee-relevant questions</w:t>
      </w:r>
    </w:p>
    <w:p>
      <w:pPr>
        <w:pStyle w:val="ListParagraph"/>
        <w:numPr>
          <w:ilvl w:val="0"/>
          <w:numId w:val="2"/>
        </w:numPr>
        <w:spacing w:after="90" w:line="320"/>
      </w:pPr>
      <w:r>
        <w:rPr>
          <w:rFonts w:ascii="Calibri" w:cs="Calibri" w:eastAsia="Calibri" w:hAnsi="Calibri"/>
          <w:color w:val="1A1A1A"/>
          <w:sz w:val="22"/>
          <w:szCs w:val="22"/>
        </w:rPr>
        <w:t xml:space="preserve">How and when should the model refresh be applied? Implementation in Q2 is feasible. Earlier implementation would require additional management attention and potentially further compress Q1 profitability.</w:t>
      </w:r>
    </w:p>
    <w:p>
      <w:pPr>
        <w:pStyle w:val="ListParagraph"/>
        <w:numPr>
          <w:ilvl w:val="0"/>
          <w:numId w:val="2"/>
        </w:numPr>
        <w:spacing w:after="90" w:line="320"/>
      </w:pPr>
      <w:r>
        <w:rPr>
          <w:rFonts w:ascii="Calibri" w:cs="Calibri" w:eastAsia="Calibri" w:hAnsi="Calibri"/>
          <w:color w:val="1A1A1A"/>
          <w:sz w:val="22"/>
          <w:szCs w:val="22"/>
        </w:rPr>
        <w:t xml:space="preserve">What is the interaction with PwC's interim review? PwC will be made aware of the refresh; their review will incorporate the new model assumptions in scoping.</w:t>
      </w:r>
    </w:p>
    <w:p>
      <w:pPr>
        <w:pStyle w:val="Heading3"/>
        <w:spacing w:after="120" w:before="220"/>
      </w:pPr>
      <w:r>
        <w:rPr>
          <w:rFonts w:ascii="Calibri" w:cs="Calibri" w:eastAsia="Calibri" w:hAnsi="Calibri"/>
          <w:b/>
          <w:bCs/>
          <w:color w:val="1A1A1A"/>
          <w:sz w:val="22"/>
          <w:szCs w:val="22"/>
        </w:rPr>
        <w:t xml:space="preserve">Committee recommendation on provisioning</w:t>
      </w:r>
    </w:p>
    <w:p>
      <w:pPr>
        <w:pStyle w:val="ListParagraph"/>
        <w:numPr>
          <w:ilvl w:val="0"/>
          <w:numId w:val="2"/>
        </w:numPr>
        <w:spacing w:after="90" w:line="320"/>
      </w:pPr>
      <w:r>
        <w:rPr>
          <w:rFonts w:ascii="Calibri" w:cs="Calibri" w:eastAsia="Calibri" w:hAnsi="Calibri"/>
          <w:color w:val="1A1A1A"/>
          <w:sz w:val="22"/>
          <w:szCs w:val="22"/>
        </w:rPr>
        <w:t xml:space="preserve">Recommend management increase March provisioning tranche by KES 40 million to ensure Q1 close at or above 50% coverage.</w:t>
      </w:r>
    </w:p>
    <w:p>
      <w:pPr>
        <w:pStyle w:val="ListParagraph"/>
        <w:numPr>
          <w:ilvl w:val="0"/>
          <w:numId w:val="2"/>
        </w:numPr>
        <w:spacing w:after="90" w:line="320"/>
      </w:pPr>
      <w:r>
        <w:rPr>
          <w:rFonts w:ascii="Calibri" w:cs="Calibri" w:eastAsia="Calibri" w:hAnsi="Calibri"/>
          <w:color w:val="1A1A1A"/>
          <w:sz w:val="22"/>
          <w:szCs w:val="22"/>
        </w:rPr>
        <w:t xml:space="preserve">Endorse the digital lending model refresh and recommend Q2 implementation.</w:t>
      </w:r>
    </w:p>
    <w:p>
      <w:pPr>
        <w:pStyle w:val="ListParagraph"/>
        <w:numPr>
          <w:ilvl w:val="0"/>
          <w:numId w:val="2"/>
        </w:numPr>
        <w:spacing w:after="90" w:line="320"/>
      </w:pPr>
      <w:r>
        <w:rPr>
          <w:rFonts w:ascii="Calibri" w:cs="Calibri" w:eastAsia="Calibri" w:hAnsi="Calibri"/>
          <w:color w:val="1A1A1A"/>
          <w:sz w:val="22"/>
          <w:szCs w:val="22"/>
        </w:rPr>
        <w:t xml:space="preserve">Note the interim PwC review timeline and confirm the Committee will receive the report in April.</w:t>
      </w:r>
    </w:p>
    <w:p>
      <w:pPr>
        <w:pStyle w:val="Heading2"/>
        <w:spacing w:after="160" w:before="300"/>
      </w:pPr>
      <w:r>
        <w:rPr>
          <w:rFonts w:ascii="Georgia" w:cs="Georgia" w:eastAsia="Georgia" w:hAnsi="Georgia"/>
          <w:b/>
          <w:bCs/>
          <w:color w:val="1A1A1A"/>
          <w:sz w:val="25"/>
          <w:szCs w:val="25"/>
        </w:rPr>
        <w:t xml:space="preserve">Item 3 — AML transaction monitoring post-implementation review preparation</w:t>
      </w:r>
    </w:p>
    <w:p>
      <w:pPr>
        <w:spacing w:after="140" w:before="0" w:line="320"/>
        <w:jc w:val="left"/>
      </w:pPr>
      <w:r>
        <w:rPr>
          <w:rFonts w:ascii="Calibri" w:cs="Calibri" w:eastAsia="Calibri" w:hAnsi="Calibri"/>
          <w:b w:val="false"/>
          <w:bCs w:val="false"/>
          <w:i w:val="false"/>
          <w:iCs w:val="false"/>
          <w:color w:val="1A1A1A"/>
          <w:sz w:val="22"/>
          <w:szCs w:val="22"/>
        </w:rPr>
        <w:t xml:space="preserve">Internal Audit fieldwork for the post-implementation review begins 16 March. Scope covers: detection rule effectiveness, false positive rate, operational handling of flagged transactions, and broader AML programme integration.</w:t>
      </w:r>
    </w:p>
    <w:p>
      <w:pPr>
        <w:spacing w:after="140" w:before="0" w:line="320"/>
        <w:jc w:val="left"/>
      </w:pPr>
      <w:r>
        <w:rPr>
          <w:rFonts w:ascii="Calibri" w:cs="Calibri" w:eastAsia="Calibri" w:hAnsi="Calibri"/>
          <w:b w:val="false"/>
          <w:bCs w:val="false"/>
          <w:i w:val="false"/>
          <w:iCs w:val="false"/>
          <w:color w:val="1A1A1A"/>
          <w:sz w:val="22"/>
          <w:szCs w:val="22"/>
        </w:rPr>
        <w:t xml:space="preserve">Findings of the review will determine readiness to file formal CBK self-report closure. Management's commitment of 31 March 2026 closure date remains in effect; if Internal Audit findings indicate further remediation is needed, the closure date may need to slip — which would require notification to CBK.</w:t>
      </w:r>
    </w:p>
    <w:p>
      <w:pPr>
        <w:pStyle w:val="Heading2"/>
        <w:spacing w:after="160" w:before="300"/>
      </w:pPr>
      <w:r>
        <w:rPr>
          <w:rFonts w:ascii="Georgia" w:cs="Georgia" w:eastAsia="Georgia" w:hAnsi="Georgia"/>
          <w:b/>
          <w:bCs/>
          <w:color w:val="1A1A1A"/>
          <w:sz w:val="25"/>
          <w:szCs w:val="25"/>
        </w:rPr>
        <w:t xml:space="preserve">Item 4 — Cyber tooling third-party assessment</w:t>
      </w:r>
    </w:p>
    <w:p>
      <w:pPr>
        <w:spacing w:after="140" w:before="0" w:line="320"/>
        <w:jc w:val="left"/>
      </w:pPr>
      <w:r>
        <w:rPr>
          <w:rFonts w:ascii="Calibri" w:cs="Calibri" w:eastAsia="Calibri" w:hAnsi="Calibri"/>
          <w:b w:val="false"/>
          <w:bCs w:val="false"/>
          <w:i w:val="false"/>
          <w:iCs w:val="false"/>
          <w:color w:val="1A1A1A"/>
          <w:sz w:val="22"/>
          <w:szCs w:val="22"/>
        </w:rPr>
        <w:t xml:space="preserve">The Mandiant assessment commissioned in November is now in draft. Key findings: the Bank's threat detection coverage is below peer median for mid-tier African banks; patching cadence on customer-facing systems is acceptable but on internal systems shows backlog; identity and access management controls need refresh.</w:t>
      </w:r>
    </w:p>
    <w:p>
      <w:pPr>
        <w:spacing w:after="140" w:before="0" w:line="320"/>
        <w:jc w:val="left"/>
      </w:pPr>
      <w:r>
        <w:rPr>
          <w:rFonts w:ascii="Calibri" w:cs="Calibri" w:eastAsia="Calibri" w:hAnsi="Calibri"/>
          <w:b w:val="false"/>
          <w:bCs w:val="false"/>
          <w:i w:val="false"/>
          <w:iCs w:val="false"/>
          <w:color w:val="1A1A1A"/>
          <w:sz w:val="22"/>
          <w:szCs w:val="22"/>
        </w:rPr>
        <w:t xml:space="preserve">Implementation recommendations: tooling investment of KES 95 million across Q2-Q3 2026 covering managed detection and response (MDR), patching automation, and IAM platform refresh. Operational capacity expansion of three FTEs in the security operations team.</w:t>
      </w:r>
    </w:p>
    <w:p>
      <w:pPr>
        <w:pStyle w:val="Heading3"/>
        <w:spacing w:after="120" w:before="220"/>
      </w:pPr>
      <w:r>
        <w:rPr>
          <w:rFonts w:ascii="Calibri" w:cs="Calibri" w:eastAsia="Calibri" w:hAnsi="Calibri"/>
          <w:b/>
          <w:bCs/>
          <w:color w:val="1A1A1A"/>
          <w:sz w:val="22"/>
          <w:szCs w:val="22"/>
        </w:rPr>
        <w:t xml:space="preserve">Committee-relevant questions</w:t>
      </w:r>
    </w:p>
    <w:p>
      <w:pPr>
        <w:pStyle w:val="ListParagraph"/>
        <w:numPr>
          <w:ilvl w:val="0"/>
          <w:numId w:val="2"/>
        </w:numPr>
        <w:spacing w:after="90" w:line="320"/>
      </w:pPr>
      <w:r>
        <w:rPr>
          <w:rFonts w:ascii="Calibri" w:cs="Calibri" w:eastAsia="Calibri" w:hAnsi="Calibri"/>
          <w:color w:val="1A1A1A"/>
          <w:sz w:val="22"/>
          <w:szCs w:val="22"/>
        </w:rPr>
        <w:t xml:space="preserve">Are the recommendations consistent with the Bank's cyber posture trajectory and the Q1 events? Yes. The recommendations would have prevented or significantly reduced the impact of the January BEC event.</w:t>
      </w:r>
    </w:p>
    <w:p>
      <w:pPr>
        <w:pStyle w:val="ListParagraph"/>
        <w:numPr>
          <w:ilvl w:val="0"/>
          <w:numId w:val="2"/>
        </w:numPr>
        <w:spacing w:after="90" w:line="320"/>
      </w:pPr>
      <w:r>
        <w:rPr>
          <w:rFonts w:ascii="Calibri" w:cs="Calibri" w:eastAsia="Calibri" w:hAnsi="Calibri"/>
          <w:color w:val="1A1A1A"/>
          <w:sz w:val="22"/>
          <w:szCs w:val="22"/>
        </w:rPr>
        <w:t xml:space="preserve">How does the recommendation interact with the digital lending risk remediation programme? There is overlap on fraud detection; the programmes should be coordinated.</w:t>
      </w:r>
    </w:p>
    <w:p>
      <w:pPr>
        <w:pStyle w:val="ListParagraph"/>
        <w:numPr>
          <w:ilvl w:val="0"/>
          <w:numId w:val="2"/>
        </w:numPr>
        <w:spacing w:after="90" w:line="320"/>
      </w:pPr>
      <w:r>
        <w:rPr>
          <w:rFonts w:ascii="Calibri" w:cs="Calibri" w:eastAsia="Calibri" w:hAnsi="Calibri"/>
          <w:color w:val="1A1A1A"/>
          <w:sz w:val="22"/>
          <w:szCs w:val="22"/>
        </w:rPr>
        <w:t xml:space="preserve">Should the recommendations be elevated to Board for May approval? Committee view: yes, alongside the digital lending remediation.</w:t>
      </w:r>
    </w:p>
    <w:p>
      <w:pPr>
        <w:pStyle w:val="Heading2"/>
        <w:spacing w:after="160" w:before="300"/>
      </w:pPr>
      <w:r>
        <w:rPr>
          <w:rFonts w:ascii="Georgia" w:cs="Georgia" w:eastAsia="Georgia" w:hAnsi="Georgia"/>
          <w:b/>
          <w:bCs/>
          <w:color w:val="1A1A1A"/>
          <w:sz w:val="25"/>
          <w:szCs w:val="25"/>
        </w:rPr>
        <w:t xml:space="preserve">Item 5 — Internal Audit Head succession</w:t>
      </w:r>
    </w:p>
    <w:p>
      <w:pPr>
        <w:spacing w:after="140" w:before="0" w:line="320"/>
        <w:jc w:val="left"/>
      </w:pPr>
      <w:r>
        <w:rPr>
          <w:rFonts w:ascii="Calibri" w:cs="Calibri" w:eastAsia="Calibri" w:hAnsi="Calibri"/>
          <w:b w:val="false"/>
          <w:bCs w:val="false"/>
          <w:i w:val="false"/>
          <w:iCs w:val="false"/>
          <w:color w:val="1A1A1A"/>
          <w:sz w:val="22"/>
          <w:szCs w:val="22"/>
        </w:rPr>
        <w:t xml:space="preserve">Mary Achieng's retirement effective 31 December 2026. Six candidates shortlisted by the Internal Audit Head succession sub-committee (Bram Mwalo, James Kiprop, HR Director). Three candidates will be presented at the March Committee meeting; final recommendation expected at June Committee meeting.</w:t>
      </w:r>
    </w:p>
    <w:p>
      <w:pPr>
        <w:pStyle w:val="Heading2"/>
        <w:spacing w:after="160" w:before="300"/>
      </w:pPr>
      <w:r>
        <w:rPr>
          <w:rFonts w:ascii="Georgia" w:cs="Georgia" w:eastAsia="Georgia" w:hAnsi="Georgia"/>
          <w:b/>
          <w:bCs/>
          <w:color w:val="1A1A1A"/>
          <w:sz w:val="25"/>
          <w:szCs w:val="25"/>
        </w:rPr>
        <w:t xml:space="preserve">Item 6 — Audit findings status</w:t>
      </w:r>
    </w:p>
    <w:p>
      <w:pPr>
        <w:spacing w:after="140" w:before="0" w:line="320"/>
        <w:jc w:val="left"/>
      </w:pPr>
      <w:r>
        <w:rPr>
          <w:rFonts w:ascii="Calibri" w:cs="Calibri" w:eastAsia="Calibri" w:hAnsi="Calibri"/>
          <w:b w:val="false"/>
          <w:bCs w:val="false"/>
          <w:i w:val="false"/>
          <w:iCs w:val="false"/>
          <w:color w:val="1A1A1A"/>
          <w:sz w:val="22"/>
          <w:szCs w:val="22"/>
        </w:rPr>
        <w:t xml:space="preserve">Open findings at February close: 38 (13 high-risk) — unchanged. Two of three findings outstanding over twelve months remain on track for 31 March closure. The third (Branch Operations process control) is at risk; remediation has slipped past expected timeline.</w:t>
      </w:r>
    </w:p>
    <w:p>
      <w:pPr>
        <w:pStyle w:val="Heading3"/>
        <w:spacing w:after="120" w:before="220"/>
      </w:pPr>
      <w:r>
        <w:rPr>
          <w:rFonts w:ascii="Calibri" w:cs="Calibri" w:eastAsia="Calibri" w:hAnsi="Calibri"/>
          <w:b/>
          <w:bCs/>
          <w:color w:val="1A1A1A"/>
          <w:sz w:val="22"/>
          <w:szCs w:val="22"/>
        </w:rPr>
        <w:t xml:space="preserve">Committee recommendation on findings</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should consider whether to escalate the at-risk finding to the CEO ahead of the 31 March deadline rather than waiting until the deadline is missed.</w:t>
      </w:r>
    </w:p>
    <w:p>
      <w:pPr>
        <w:pStyle w:val="Heading2"/>
        <w:spacing w:after="160" w:before="300"/>
      </w:pPr>
      <w:r>
        <w:rPr>
          <w:rFonts w:ascii="Georgia" w:cs="Georgia" w:eastAsia="Georgia" w:hAnsi="Georgia"/>
          <w:b/>
          <w:bCs/>
          <w:color w:val="1A1A1A"/>
          <w:sz w:val="25"/>
          <w:szCs w:val="25"/>
        </w:rPr>
        <w:t xml:space="preserve">Decisions requested from the Committee</w:t>
      </w:r>
    </w:p>
    <w:p>
      <w:pPr>
        <w:pStyle w:val="ListParagraph"/>
        <w:numPr>
          <w:ilvl w:val="0"/>
          <w:numId w:val="2"/>
        </w:numPr>
        <w:spacing w:after="90" w:line="320"/>
      </w:pPr>
      <w:r>
        <w:rPr>
          <w:rFonts w:ascii="Calibri" w:cs="Calibri" w:eastAsia="Calibri" w:hAnsi="Calibri"/>
          <w:color w:val="1A1A1A"/>
          <w:sz w:val="22"/>
          <w:szCs w:val="22"/>
        </w:rPr>
        <w:t xml:space="preserve">Endorse the increased March provisioning tranche.</w:t>
      </w:r>
    </w:p>
    <w:p>
      <w:pPr>
        <w:pStyle w:val="ListParagraph"/>
        <w:numPr>
          <w:ilvl w:val="0"/>
          <w:numId w:val="2"/>
        </w:numPr>
        <w:spacing w:after="90" w:line="320"/>
      </w:pPr>
      <w:r>
        <w:rPr>
          <w:rFonts w:ascii="Calibri" w:cs="Calibri" w:eastAsia="Calibri" w:hAnsi="Calibri"/>
          <w:color w:val="1A1A1A"/>
          <w:sz w:val="22"/>
          <w:szCs w:val="22"/>
        </w:rPr>
        <w:t xml:space="preserve">Endorse the digital lending model refresh and Q2 implementation.</w:t>
      </w:r>
    </w:p>
    <w:p>
      <w:pPr>
        <w:pStyle w:val="ListParagraph"/>
        <w:numPr>
          <w:ilvl w:val="0"/>
          <w:numId w:val="2"/>
        </w:numPr>
        <w:spacing w:after="90" w:line="320"/>
      </w:pPr>
      <w:r>
        <w:rPr>
          <w:rFonts w:ascii="Calibri" w:cs="Calibri" w:eastAsia="Calibri" w:hAnsi="Calibri"/>
          <w:color w:val="1A1A1A"/>
          <w:sz w:val="22"/>
          <w:szCs w:val="22"/>
        </w:rPr>
        <w:t xml:space="preserve">Receive the cyber tooling assessment and recommend Board endorsement at May.</w:t>
      </w:r>
    </w:p>
    <w:p>
      <w:pPr>
        <w:pStyle w:val="ListParagraph"/>
        <w:numPr>
          <w:ilvl w:val="0"/>
          <w:numId w:val="2"/>
        </w:numPr>
        <w:spacing w:after="90" w:line="320"/>
      </w:pPr>
      <w:r>
        <w:rPr>
          <w:rFonts w:ascii="Calibri" w:cs="Calibri" w:eastAsia="Calibri" w:hAnsi="Calibri"/>
          <w:color w:val="1A1A1A"/>
          <w:sz w:val="22"/>
          <w:szCs w:val="22"/>
        </w:rPr>
        <w:t xml:space="preserve">Approve the at-risk finding escalation to CEO.</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6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Audit Committee — 8 March 2026</w:t>
      </w:r>
    </w:p>
    <w:p>
      <w:pPr>
        <w:spacing w:after="240"/>
      </w:pPr>
      <w:r>
        <w:rPr>
          <w:rFonts w:ascii="Georgia" w:cs="Georgia" w:eastAsia="Georgia" w:hAnsi="Georgia"/>
          <w:i/>
          <w:iCs/>
          <w:color w:val="2B2B2A"/>
          <w:sz w:val="26"/>
          <w:szCs w:val="26"/>
        </w:rPr>
        <w:t xml:space="preserve">Confidential — Committee members and senior management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Saturday, 8 March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09:30 — 12:45</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Ubora Bank Head Office</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 (4 of 4)</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w:t>
      </w:r>
    </w:p>
    <w:p>
      <w:pPr>
        <w:spacing w:after="140" w:before="0" w:line="320"/>
        <w:jc w:val="left"/>
      </w:pPr>
      <w:r>
        <w:rPr>
          <w:rFonts w:ascii="Calibri" w:cs="Calibri" w:eastAsia="Calibri" w:hAnsi="Calibri"/>
          <w:b w:val="false"/>
          <w:bCs w:val="false"/>
          <w:i w:val="false"/>
          <w:iCs w:val="false"/>
          <w:color w:val="1A1A1A"/>
          <w:sz w:val="22"/>
          <w:szCs w:val="22"/>
        </w:rPr>
        <w:t xml:space="preserve">Present: Bram Mwalo (Chair), Wanjiku Karanja, David Otieno, Susan Mwende. Management: James Kiprop (CEO), Margaret Wambui (CFO), Daniel Mutua (CRO), Mary Achieng (Head of Internal Audit). Catherine Onyango (Company Secretary).</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Susan Mwende declared that her firm had been approached by Deloitte during February regarding an unrelated advisory engagement; the approach had been declined. The Committee noted the declaration.</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Minutes of the meeting held on 8 February 2026 were tabled and confirmed as a true record.</w:t>
      </w:r>
    </w:p>
    <w:p>
      <w:pPr>
        <w:pStyle w:val="Heading2"/>
        <w:spacing w:after="160" w:before="300"/>
      </w:pPr>
      <w:r>
        <w:rPr>
          <w:rFonts w:ascii="Georgia" w:cs="Georgia" w:eastAsia="Georgia" w:hAnsi="Georgia"/>
          <w:b/>
          <w:bCs/>
          <w:color w:val="1A1A1A"/>
          <w:sz w:val="25"/>
          <w:szCs w:val="25"/>
        </w:rPr>
        <w:t xml:space="preserve">4. Action items review</w:t>
      </w:r>
    </w:p>
    <w:p>
      <w:pPr>
        <w:spacing w:after="140" w:before="0" w:line="320"/>
        <w:jc w:val="left"/>
      </w:pPr>
      <w:r>
        <w:rPr>
          <w:rFonts w:ascii="Calibri" w:cs="Calibri" w:eastAsia="Calibri" w:hAnsi="Calibri"/>
          <w:b w:val="false"/>
          <w:bCs w:val="false"/>
          <w:i w:val="false"/>
          <w:iCs w:val="false"/>
          <w:color w:val="1A1A1A"/>
          <w:sz w:val="22"/>
          <w:szCs w:val="22"/>
        </w:rPr>
        <w:t xml:space="preserve">Of nine action items from February, seven are closed. Outstanding: digital lending provisioning model refresh implementation (in progress, expected Q2), and the at-risk Branch Operations finding (pending CEO escalation, see Item 7).</w:t>
      </w:r>
    </w:p>
    <w:p>
      <w:pPr>
        <w:pStyle w:val="Heading2"/>
        <w:spacing w:after="160" w:before="300"/>
      </w:pPr>
      <w:r>
        <w:rPr>
          <w:rFonts w:ascii="Georgia" w:cs="Georgia" w:eastAsia="Georgia" w:hAnsi="Georgia"/>
          <w:b/>
          <w:bCs/>
          <w:color w:val="1A1A1A"/>
          <w:sz w:val="25"/>
          <w:szCs w:val="25"/>
        </w:rPr>
        <w:t xml:space="preserve">5. Item 1 — Provisioning adequacy review</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February position. Coverage at 43%. NPL formation of KES 160 million in February matched January's pace. Q1 close trajectory: approximately 49% coverage if March matches February pace.</w:t>
      </w:r>
    </w:p>
    <w:p>
      <w:pPr>
        <w:spacing w:after="140" w:before="0" w:line="320"/>
        <w:jc w:val="left"/>
      </w:pPr>
      <w:r>
        <w:rPr>
          <w:rFonts w:ascii="Calibri" w:cs="Calibri" w:eastAsia="Calibri" w:hAnsi="Calibri"/>
          <w:b w:val="false"/>
          <w:bCs w:val="false"/>
          <w:i w:val="false"/>
          <w:iCs w:val="false"/>
          <w:color w:val="1A1A1A"/>
          <w:sz w:val="22"/>
          <w:szCs w:val="22"/>
        </w:rPr>
        <w:t xml:space="preserve">The Chair (Bram Mwalo) opened by noting that the Committee in February had explicitly raised the question of whether the March tranche should be increased. He asked the CFO whether management had a view on the recommendation in this paper to increase the tranche by KES 40 million.</w:t>
      </w:r>
    </w:p>
    <w:p>
      <w:pPr>
        <w:spacing w:after="140" w:before="0" w:line="320"/>
        <w:jc w:val="left"/>
      </w:pPr>
      <w:r>
        <w:rPr>
          <w:rFonts w:ascii="Calibri" w:cs="Calibri" w:eastAsia="Calibri" w:hAnsi="Calibri"/>
          <w:b w:val="false"/>
          <w:bCs w:val="false"/>
          <w:i w:val="false"/>
          <w:iCs w:val="false"/>
          <w:color w:val="1A1A1A"/>
          <w:sz w:val="22"/>
          <w:szCs w:val="22"/>
        </w:rPr>
        <w:t xml:space="preserve">The CFO confirmed management agreed with the Committee recommendation. The CEO added that the increase would compress Q1 profit before tax by approximately KES 28 million net of tax but was the right risk management posture.</w:t>
      </w:r>
    </w:p>
    <w:p>
      <w:pPr>
        <w:spacing w:after="140" w:before="0" w:line="320"/>
        <w:jc w:val="left"/>
      </w:pPr>
      <w:r>
        <w:rPr>
          <w:rFonts w:ascii="Calibri" w:cs="Calibri" w:eastAsia="Calibri" w:hAnsi="Calibri"/>
          <w:b w:val="false"/>
          <w:bCs w:val="false"/>
          <w:i w:val="false"/>
          <w:iCs w:val="false"/>
          <w:color w:val="1A1A1A"/>
          <w:sz w:val="22"/>
          <w:szCs w:val="22"/>
        </w:rPr>
        <w:t xml:space="preserve">Wanjiku Karanja asked whether the digital lending model refresh findings (Item 2) should be incorporated into the Q1 provisioning rather than deferred to Q2. The CFO indicated the operational complexity of mid-quarter model implementation would create reconciliation issues; Q2 implementation was the more disciplined path.</w:t>
      </w:r>
    </w:p>
    <w:p>
      <w:pPr>
        <w:spacing w:after="140" w:before="0" w:line="320"/>
        <w:jc w:val="left"/>
      </w:pPr>
      <w:r>
        <w:rPr>
          <w:rFonts w:ascii="Calibri" w:cs="Calibri" w:eastAsia="Calibri" w:hAnsi="Calibri"/>
          <w:b w:val="false"/>
          <w:bCs w:val="false"/>
          <w:i w:val="false"/>
          <w:iCs w:val="false"/>
          <w:color w:val="1A1A1A"/>
          <w:sz w:val="22"/>
          <w:szCs w:val="22"/>
        </w:rPr>
        <w:t xml:space="preserve">David Otieno asked about CBK posture. The CEO confirmed that the supervisory team had been informed of the increased March tranche during the regular monthly engagement on 5 March; reception had been positive.</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unanimously to recommend to the Board: increase March provisioning tranche by KES 40 million to ensure Q1 close at or above 50% coverage. The Chair to carry the recommendation to the May Board meeting.</w:t>
      </w:r>
    </w:p>
    <w:p>
      <w:pPr>
        <w:pStyle w:val="Heading2"/>
        <w:spacing w:after="160" w:before="300"/>
      </w:pPr>
      <w:r>
        <w:rPr>
          <w:rFonts w:ascii="Georgia" w:cs="Georgia" w:eastAsia="Georgia" w:hAnsi="Georgia"/>
          <w:b/>
          <w:bCs/>
          <w:color w:val="1A1A1A"/>
          <w:sz w:val="25"/>
          <w:szCs w:val="25"/>
        </w:rPr>
        <w:t xml:space="preserve">6. Item 2 — Digital lending provisioning model refresh</w:t>
      </w:r>
    </w:p>
    <w:p>
      <w:pPr>
        <w:spacing w:after="140" w:before="0" w:line="320"/>
        <w:jc w:val="left"/>
      </w:pPr>
      <w:r>
        <w:rPr>
          <w:rFonts w:ascii="Calibri" w:cs="Calibri" w:eastAsia="Calibri" w:hAnsi="Calibri"/>
          <w:b w:val="false"/>
          <w:bCs w:val="false"/>
          <w:i w:val="false"/>
          <w:iCs w:val="false"/>
          <w:color w:val="1A1A1A"/>
          <w:sz w:val="22"/>
          <w:szCs w:val="22"/>
        </w:rPr>
        <w:t xml:space="preserve">The CRO presented the Deloitte initial findings. The refreshed model implied appropriate provisioning rates of 6.5-7.5% on the digital book versus current 4.2%. Implementation feasible in Q2.</w:t>
      </w:r>
    </w:p>
    <w:p>
      <w:pPr>
        <w:spacing w:after="140" w:before="0" w:line="320"/>
        <w:jc w:val="left"/>
      </w:pPr>
      <w:r>
        <w:rPr>
          <w:rFonts w:ascii="Calibri" w:cs="Calibri" w:eastAsia="Calibri" w:hAnsi="Calibri"/>
          <w:b w:val="false"/>
          <w:bCs w:val="false"/>
          <w:i w:val="false"/>
          <w:iCs w:val="false"/>
          <w:color w:val="1A1A1A"/>
          <w:sz w:val="22"/>
          <w:szCs w:val="22"/>
        </w:rPr>
        <w:t xml:space="preserve">The Chair noted his concern about the gap between the existing model and the refreshed model. He asked whether the existing model had been independently reviewed in the previous twelve months. The CRO confirmed the model had been subject to its annual model validation in October 2025, which had not flagged the calibration issue.</w:t>
      </w:r>
    </w:p>
    <w:p>
      <w:pPr>
        <w:spacing w:after="140" w:before="0" w:line="320"/>
        <w:jc w:val="left"/>
      </w:pPr>
      <w:r>
        <w:rPr>
          <w:rFonts w:ascii="Calibri" w:cs="Calibri" w:eastAsia="Calibri" w:hAnsi="Calibri"/>
          <w:b w:val="false"/>
          <w:bCs w:val="false"/>
          <w:i w:val="false"/>
          <w:iCs w:val="false"/>
          <w:color w:val="1A1A1A"/>
          <w:sz w:val="22"/>
          <w:szCs w:val="22"/>
        </w:rPr>
        <w:t xml:space="preserve">The Chair indicated that this was itself a finding — the model validation process had not detected what the refresh was now revealing as a material under-provisioning. He requested that Internal Audit add review of the model validation process to its forward programme.</w:t>
      </w:r>
    </w:p>
    <w:p>
      <w:pPr>
        <w:spacing w:after="140" w:before="0" w:line="320"/>
        <w:jc w:val="left"/>
      </w:pPr>
      <w:r>
        <w:rPr>
          <w:rFonts w:ascii="Calibri" w:cs="Calibri" w:eastAsia="Calibri" w:hAnsi="Calibri"/>
          <w:b w:val="false"/>
          <w:bCs w:val="false"/>
          <w:i w:val="false"/>
          <w:iCs w:val="false"/>
          <w:color w:val="1A1A1A"/>
          <w:sz w:val="22"/>
          <w:szCs w:val="22"/>
        </w:rPr>
        <w:t xml:space="preserve">Susan Mwende asked whether the refreshed model assumptions would be subject to external auditor review. The CFO confirmed the Q2 implementation would include external auditor (PwC) sign-off on the new model assumptions.</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endorse the digital lending model refresh and Q2 implementation; request Internal Audit add the model validation process to its forward programme; and confirm external auditor involvement in the Q2 implementation.</w:t>
      </w:r>
    </w:p>
    <w:p>
      <w:pPr>
        <w:pStyle w:val="Heading2"/>
        <w:spacing w:after="160" w:before="300"/>
      </w:pPr>
      <w:r>
        <w:rPr>
          <w:rFonts w:ascii="Georgia" w:cs="Georgia" w:eastAsia="Georgia" w:hAnsi="Georgia"/>
          <w:b/>
          <w:bCs/>
          <w:color w:val="1A1A1A"/>
          <w:sz w:val="25"/>
          <w:szCs w:val="25"/>
        </w:rPr>
        <w:t xml:space="preserve">7. Item 3 — AML transaction monitoring post-implementation review</w:t>
      </w:r>
    </w:p>
    <w:p>
      <w:pPr>
        <w:spacing w:after="140" w:before="0" w:line="320"/>
        <w:jc w:val="left"/>
      </w:pPr>
      <w:r>
        <w:rPr>
          <w:rFonts w:ascii="Calibri" w:cs="Calibri" w:eastAsia="Calibri" w:hAnsi="Calibri"/>
          <w:b w:val="false"/>
          <w:bCs w:val="false"/>
          <w:i w:val="false"/>
          <w:iCs w:val="false"/>
          <w:color w:val="1A1A1A"/>
          <w:sz w:val="22"/>
          <w:szCs w:val="22"/>
        </w:rPr>
        <w:t xml:space="preserve">The Head of Internal Audit confirmed fieldwork beginning 16 March, with findings expected in early April. The 31 March CBK self-report closure date remains the target but may slip if review findings indicate further remediation is needed.</w:t>
      </w:r>
    </w:p>
    <w:p>
      <w:pPr>
        <w:spacing w:after="140" w:before="0" w:line="320"/>
        <w:jc w:val="left"/>
      </w:pPr>
      <w:r>
        <w:rPr>
          <w:rFonts w:ascii="Calibri" w:cs="Calibri" w:eastAsia="Calibri" w:hAnsi="Calibri"/>
          <w:b w:val="false"/>
          <w:bCs w:val="false"/>
          <w:i w:val="false"/>
          <w:iCs w:val="false"/>
          <w:color w:val="1A1A1A"/>
          <w:sz w:val="22"/>
          <w:szCs w:val="22"/>
        </w:rPr>
        <w:t xml:space="preserve">The Chair noted that the slip risk should be communicated to CBK now rather than at the deadline. The CEO undertook to make this communication during the next regular monthly CBK engagement on 21 March.</w:t>
      </w:r>
    </w:p>
    <w:p>
      <w:pPr>
        <w:pStyle w:val="Heading2"/>
        <w:spacing w:after="160" w:before="300"/>
      </w:pPr>
      <w:r>
        <w:rPr>
          <w:rFonts w:ascii="Georgia" w:cs="Georgia" w:eastAsia="Georgia" w:hAnsi="Georgia"/>
          <w:b/>
          <w:bCs/>
          <w:color w:val="1A1A1A"/>
          <w:sz w:val="25"/>
          <w:szCs w:val="25"/>
        </w:rPr>
        <w:t xml:space="preserve">8. Item 4 — Cyber tooling third-party assessment</w:t>
      </w:r>
    </w:p>
    <w:p>
      <w:pPr>
        <w:spacing w:after="140" w:before="0" w:line="320"/>
        <w:jc w:val="left"/>
      </w:pPr>
      <w:r>
        <w:rPr>
          <w:rFonts w:ascii="Calibri" w:cs="Calibri" w:eastAsia="Calibri" w:hAnsi="Calibri"/>
          <w:b w:val="false"/>
          <w:bCs w:val="false"/>
          <w:i w:val="false"/>
          <w:iCs w:val="false"/>
          <w:color w:val="1A1A1A"/>
          <w:sz w:val="22"/>
          <w:szCs w:val="22"/>
        </w:rPr>
        <w:t xml:space="preserve">The CRO presented the Mandiant draft. The Chair asked David Otieno (who had been the original sponsor of the Mandiant engagement) to give his view on the depth of the assessment relative to the Bank's risk profile.</w:t>
      </w:r>
    </w:p>
    <w:p>
      <w:pPr>
        <w:spacing w:after="140" w:before="0" w:line="320"/>
        <w:jc w:val="left"/>
      </w:pPr>
      <w:r>
        <w:rPr>
          <w:rFonts w:ascii="Calibri" w:cs="Calibri" w:eastAsia="Calibri" w:hAnsi="Calibri"/>
          <w:b w:val="false"/>
          <w:bCs w:val="false"/>
          <w:i w:val="false"/>
          <w:iCs w:val="false"/>
          <w:color w:val="1A1A1A"/>
          <w:sz w:val="22"/>
          <w:szCs w:val="22"/>
        </w:rPr>
        <w:t xml:space="preserve">David Otieno indicated the assessment was thorough and the implementation recommendations were proportionate. He noted, however, that the recommended KES 95 million spend across Q2-Q3 represented a significant capital allocation and wondered whether some elements could be sequenced into 2027.</w:t>
      </w:r>
    </w:p>
    <w:p>
      <w:pPr>
        <w:spacing w:after="140" w:before="0" w:line="320"/>
        <w:jc w:val="left"/>
      </w:pPr>
      <w:r>
        <w:rPr>
          <w:rFonts w:ascii="Calibri" w:cs="Calibri" w:eastAsia="Calibri" w:hAnsi="Calibri"/>
          <w:b w:val="false"/>
          <w:bCs w:val="false"/>
          <w:i w:val="false"/>
          <w:iCs w:val="false"/>
          <w:color w:val="1A1A1A"/>
          <w:sz w:val="22"/>
          <w:szCs w:val="22"/>
        </w:rPr>
        <w:t xml:space="preserve">The Chair indicated that the cyber events of the past two quarters made full sequencing in 2026 the prudent path. He proposed that the recommendations be carried to the May Board with full implementation across Q2-Q3 as the management proposal, but that the Board be invited to consider sequencing if it preferred.</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receive the Mandiant assessment; recommend to the Board that cyber tooling investment of KES 95 million across Q2-Q3 2026 be approved; and request the implementation be coordinated with the digital lending risk remediation programme.</w:t>
      </w:r>
    </w:p>
    <w:p>
      <w:pPr>
        <w:pStyle w:val="Heading2"/>
        <w:spacing w:after="160" w:before="300"/>
      </w:pPr>
      <w:r>
        <w:rPr>
          <w:rFonts w:ascii="Georgia" w:cs="Georgia" w:eastAsia="Georgia" w:hAnsi="Georgia"/>
          <w:b/>
          <w:bCs/>
          <w:color w:val="1A1A1A"/>
          <w:sz w:val="25"/>
          <w:szCs w:val="25"/>
        </w:rPr>
        <w:t xml:space="preserve">9. Item 5 — Internal Audit Head succession</w:t>
      </w:r>
    </w:p>
    <w:p>
      <w:pPr>
        <w:spacing w:after="140" w:before="0" w:line="320"/>
        <w:jc w:val="left"/>
      </w:pPr>
      <w:r>
        <w:rPr>
          <w:rFonts w:ascii="Calibri" w:cs="Calibri" w:eastAsia="Calibri" w:hAnsi="Calibri"/>
          <w:b w:val="false"/>
          <w:bCs w:val="false"/>
          <w:i w:val="false"/>
          <w:iCs w:val="false"/>
          <w:color w:val="1A1A1A"/>
          <w:sz w:val="22"/>
          <w:szCs w:val="22"/>
        </w:rPr>
        <w:t xml:space="preserve">Three candidates were presented in summary form. The Committee will conduct interviews during April with final recommendation at the June Committee meeting. The Chair noted the importance of continuity and indicated the Committee's preference for a candidate with prior central bank or large bank Internal Audit experience.</w:t>
      </w:r>
    </w:p>
    <w:p>
      <w:pPr>
        <w:pStyle w:val="Heading2"/>
        <w:spacing w:after="160" w:before="300"/>
      </w:pPr>
      <w:r>
        <w:rPr>
          <w:rFonts w:ascii="Georgia" w:cs="Georgia" w:eastAsia="Georgia" w:hAnsi="Georgia"/>
          <w:b/>
          <w:bCs/>
          <w:color w:val="1A1A1A"/>
          <w:sz w:val="25"/>
          <w:szCs w:val="25"/>
        </w:rPr>
        <w:t xml:space="preserve">10. Item 6 — Audit findings status</w:t>
      </w:r>
    </w:p>
    <w:p>
      <w:pPr>
        <w:spacing w:after="140" w:before="0" w:line="320"/>
        <w:jc w:val="left"/>
      </w:pPr>
      <w:r>
        <w:rPr>
          <w:rFonts w:ascii="Calibri" w:cs="Calibri" w:eastAsia="Calibri" w:hAnsi="Calibri"/>
          <w:b w:val="false"/>
          <w:bCs w:val="false"/>
          <w:i w:val="false"/>
          <w:iCs w:val="false"/>
          <w:color w:val="1A1A1A"/>
          <w:sz w:val="22"/>
          <w:szCs w:val="22"/>
        </w:rPr>
        <w:t xml:space="preserve">Findings position unchanged. The Branch Operations finding outstanding over twelve months remains at risk. The Chair confirmed the recommendation to escalate to CEO ahead of the 31 March deadline; the CEO acknowledged the escalation.</w:t>
      </w:r>
    </w:p>
    <w:p>
      <w:pPr>
        <w:pStyle w:val="Heading2"/>
        <w:spacing w:after="160" w:before="300"/>
      </w:pPr>
      <w:r>
        <w:rPr>
          <w:rFonts w:ascii="Georgia" w:cs="Georgia" w:eastAsia="Georgia" w:hAnsi="Georgia"/>
          <w:b/>
          <w:bCs/>
          <w:color w:val="1A1A1A"/>
          <w:sz w:val="25"/>
          <w:szCs w:val="25"/>
        </w:rPr>
        <w:t xml:space="preserve">11. Any other business</w:t>
      </w:r>
    </w:p>
    <w:p>
      <w:pPr>
        <w:spacing w:after="140" w:before="0" w:line="320"/>
        <w:jc w:val="left"/>
      </w:pPr>
      <w:r>
        <w:rPr>
          <w:rFonts w:ascii="Calibri" w:cs="Calibri" w:eastAsia="Calibri" w:hAnsi="Calibri"/>
          <w:b w:val="false"/>
          <w:bCs w:val="false"/>
          <w:i w:val="false"/>
          <w:iCs w:val="false"/>
          <w:color w:val="1A1A1A"/>
          <w:sz w:val="22"/>
          <w:szCs w:val="22"/>
        </w:rPr>
        <w:t xml:space="preserve">The CRO informed the Committee of an emerging matter: the Tanzania transport infrastructure incident affecting cross-border lending operations. KES 18 million exposure to a single transport company (not material individually) was at risk; full implications under management review.</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noted the matter and requested an update at the next meeting.</w:t>
      </w:r>
    </w:p>
    <w:p>
      <w:pPr>
        <w:pStyle w:val="Heading2"/>
        <w:spacing w:after="160" w:before="300"/>
      </w:pPr>
      <w:r>
        <w:rPr>
          <w:rFonts w:ascii="Georgia" w:cs="Georgia" w:eastAsia="Georgia" w:hAnsi="Georgia"/>
          <w:b/>
          <w:bCs/>
          <w:color w:val="1A1A1A"/>
          <w:sz w:val="25"/>
          <w:szCs w:val="25"/>
        </w:rPr>
        <w:t xml:space="preserve">12.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The next Audit Committee meeting will be held on Saturday 8 May 2026 at 09:30 in the Boardroom — the day before the Board meeting on 15 May.</w:t>
      </w:r>
    </w:p>
    <w:p>
      <w:pPr>
        <w:pStyle w:val="Heading2"/>
        <w:spacing w:after="160" w:before="300"/>
      </w:pPr>
      <w:r>
        <w:rPr>
          <w:rFonts w:ascii="Georgia" w:cs="Georgia" w:eastAsia="Georgia" w:hAnsi="Georgia"/>
          <w:b/>
          <w:bCs/>
          <w:color w:val="1A1A1A"/>
          <w:sz w:val="25"/>
          <w:szCs w:val="25"/>
        </w:rPr>
        <w:t xml:space="preserve">13. Closing</w:t>
      </w:r>
    </w:p>
    <w:p>
      <w:pPr>
        <w:spacing w:after="140" w:before="0" w:line="320"/>
        <w:jc w:val="left"/>
      </w:pPr>
      <w:r>
        <w:rPr>
          <w:rFonts w:ascii="Calibri" w:cs="Calibri" w:eastAsia="Calibri" w:hAnsi="Calibri"/>
          <w:b w:val="false"/>
          <w:bCs w:val="false"/>
          <w:i w:val="false"/>
          <w:iCs w:val="false"/>
          <w:color w:val="1A1A1A"/>
          <w:sz w:val="22"/>
          <w:szCs w:val="22"/>
        </w:rPr>
        <w:t xml:space="preserve">Meeting closed at 12:45.</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Bram Mwalo, Chair                                       Date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7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Management Report — March 2026</w:t>
      </w:r>
    </w:p>
    <w:p>
      <w:pPr>
        <w:spacing w:after="240"/>
      </w:pPr>
      <w:r>
        <w:rPr>
          <w:rFonts w:ascii="Georgia" w:cs="Georgia" w:eastAsia="Georgia" w:hAnsi="Georgia"/>
          <w:i/>
          <w:iCs/>
          <w:color w:val="2B2B2A"/>
          <w:sz w:val="26"/>
          <w:szCs w:val="26"/>
        </w:rPr>
        <w:t xml:space="preserve">Submitted by Executive Management to the Board of Directors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 March – 31 March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Submitted by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James Kiprop, Chief Executive Officer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submitted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 April 2026</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CEO's overview</w:t>
      </w:r>
    </w:p>
    <w:p>
      <w:pPr>
        <w:spacing w:after="140" w:before="0" w:line="320"/>
        <w:jc w:val="left"/>
      </w:pPr>
      <w:r>
        <w:rPr>
          <w:rFonts w:ascii="Calibri" w:cs="Calibri" w:eastAsia="Calibri" w:hAnsi="Calibri"/>
          <w:b w:val="false"/>
          <w:bCs w:val="false"/>
          <w:i w:val="false"/>
          <w:iCs w:val="false"/>
          <w:color w:val="1A1A1A"/>
          <w:sz w:val="22"/>
          <w:szCs w:val="22"/>
        </w:rPr>
        <w:t xml:space="preserve">March was the most operationally consequential month of Q1. We closed the quarter with provisioning coverage at 50.2% — meeting the regulatory minimum but with marginal headroom. The Bank booked KES 128 million in additional provisions during March, including the KES 40 million additional tranche endorsed by the Audit Committee. NPL formation slowed materially in the second half of March, suggesting the Q1 NPL formation peak has now passed.</w:t>
      </w:r>
    </w:p>
    <w:p>
      <w:pPr>
        <w:spacing w:after="140" w:before="0" w:line="320"/>
        <w:jc w:val="left"/>
      </w:pPr>
      <w:r>
        <w:rPr>
          <w:rFonts w:ascii="Calibri" w:cs="Calibri" w:eastAsia="Calibri" w:hAnsi="Calibri"/>
          <w:b w:val="false"/>
          <w:bCs w:val="false"/>
          <w:i w:val="false"/>
          <w:iCs w:val="false"/>
          <w:color w:val="1A1A1A"/>
          <w:sz w:val="22"/>
          <w:szCs w:val="22"/>
        </w:rPr>
        <w:t xml:space="preserve">Profit before tax for Q1 2026 closed at KES 135 million versus management plan of KES 290 million — 53% below plan. Profit after tax KES 95 million. The variance is overwhelmingly driven by provisioning and NIM compression. ROE annualised for Q1 came in at 5.6%, the lowest quarterly ROE since 2021.</w:t>
      </w:r>
    </w:p>
    <w:p>
      <w:pPr>
        <w:spacing w:after="140" w:before="0" w:line="320"/>
        <w:jc w:val="left"/>
      </w:pPr>
      <w:r>
        <w:rPr>
          <w:rFonts w:ascii="Calibri" w:cs="Calibri" w:eastAsia="Calibri" w:hAnsi="Calibri"/>
          <w:b w:val="false"/>
          <w:bCs w:val="false"/>
          <w:i w:val="false"/>
          <w:iCs w:val="false"/>
          <w:color w:val="1A1A1A"/>
          <w:sz w:val="22"/>
          <w:szCs w:val="22"/>
        </w:rPr>
        <w:t xml:space="preserve">Three matters dominate the agenda for the May Board meeting: the Tier 1 capital plan, the digital lending risk remediation programme, and the cyber tooling investment recommendation. All three are formally on the Board paper for May; this report previews the financial implications.</w:t>
      </w:r>
    </w:p>
    <w:p>
      <w:pPr>
        <w:pStyle w:val="Heading2"/>
        <w:spacing w:after="160" w:before="300"/>
      </w:pPr>
      <w:r>
        <w:rPr>
          <w:rFonts w:ascii="Georgia" w:cs="Georgia" w:eastAsia="Georgia" w:hAnsi="Georgia"/>
          <w:b/>
          <w:bCs/>
          <w:color w:val="1A1A1A"/>
          <w:sz w:val="25"/>
          <w:szCs w:val="25"/>
        </w:rPr>
        <w:t xml:space="preserve">Financial performance — Q1 2026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2026 actual</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2026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Net interest income</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611</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680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(10.1%)</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720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Non-interest revenue</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445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446</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(0.2%)</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410</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Operating expenses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604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580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+4.1%</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549</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Provisions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325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+62.5%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Profit before tax</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290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436</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Profit after tax</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203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(53.2%)</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305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NIM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5.4%</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6.7%</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CTI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57.7%</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53.5%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+420 bps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51.0%</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ROE annualised</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5.6%</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12.1%</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(650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19.4%</w:t>
            </w:r>
          </w:p>
        </w:tc>
      </w:tr>
    </w:tbl>
    <w:p>
      <w:pPr>
        <w:spacing w:after="180"/>
      </w:pPr>
      <w:r>
        <w:t xml:space="preserve"/>
      </w:r>
    </w:p>
    <w:p>
      <w:pPr>
        <w:pStyle w:val="Heading2"/>
        <w:spacing w:after="160" w:before="300"/>
      </w:pPr>
      <w:r>
        <w:rPr>
          <w:rFonts w:ascii="Georgia" w:cs="Georgia" w:eastAsia="Georgia" w:hAnsi="Georgia"/>
          <w:b/>
          <w:bCs/>
          <w:color w:val="1A1A1A"/>
          <w:sz w:val="25"/>
          <w:szCs w:val="25"/>
        </w:rPr>
        <w:t xml:space="preserve">Provisioning — Q1 close position</w:t>
      </w:r>
    </w:p>
    <w:p>
      <w:pPr>
        <w:spacing w:after="140" w:before="0" w:line="320"/>
        <w:jc w:val="left"/>
      </w:pPr>
      <w:r>
        <w:rPr>
          <w:rFonts w:ascii="Calibri" w:cs="Calibri" w:eastAsia="Calibri" w:hAnsi="Calibri"/>
          <w:b w:val="false"/>
          <w:bCs w:val="false"/>
          <w:i w:val="false"/>
          <w:iCs w:val="false"/>
          <w:color w:val="1A1A1A"/>
          <w:sz w:val="22"/>
          <w:szCs w:val="22"/>
        </w:rPr>
        <w:t xml:space="preserve">Provisioning coverage at quarter-end stood at 50.2% — meeting the regulatory minimum of 50% with 20 basis points headroom. The Bank booked KES 325 million in provisions during Q1 against the original plan of KES 200 million. NPL closed at KES 3.21 billion (5.8% of loans, up from 4.7% at start of quarter).</w:t>
      </w:r>
    </w:p>
    <w:p>
      <w:pPr>
        <w:spacing w:after="140" w:before="0" w:line="320"/>
        <w:jc w:val="left"/>
      </w:pPr>
      <w:r>
        <w:rPr>
          <w:rFonts w:ascii="Calibri" w:cs="Calibri" w:eastAsia="Calibri" w:hAnsi="Calibri"/>
          <w:b w:val="false"/>
          <w:bCs w:val="false"/>
          <w:i w:val="false"/>
          <w:iCs w:val="false"/>
          <w:color w:val="1A1A1A"/>
          <w:sz w:val="22"/>
          <w:szCs w:val="22"/>
        </w:rPr>
        <w:t xml:space="preserve">The PwC interim provisioning adequacy review fieldwork began on 25 March and is expected to report in mid-April. Initial PwC observations during fieldwork have been consistent with management's view of coverage adequacy at quarter close. The Audit Committee will receive the formal report at its May meeting.</w:t>
      </w:r>
    </w:p>
    <w:p>
      <w:pPr>
        <w:spacing w:after="140" w:before="0" w:line="320"/>
        <w:jc w:val="left"/>
      </w:pPr>
      <w:r>
        <w:rPr>
          <w:rFonts w:ascii="Calibri" w:cs="Calibri" w:eastAsia="Calibri" w:hAnsi="Calibri"/>
          <w:b w:val="false"/>
          <w:bCs w:val="false"/>
          <w:i w:val="false"/>
          <w:iCs w:val="false"/>
          <w:color w:val="1A1A1A"/>
          <w:sz w:val="22"/>
          <w:szCs w:val="22"/>
        </w:rPr>
        <w:t xml:space="preserve">Engagement with CBK continues. The supervisory team has acknowledged the Q1 close and indicated normal supervisory posture. The CBK self-report on AML transaction monitoring remains scheduled for closure in early April pending Internal Audit post-implementation review.</w:t>
      </w:r>
    </w:p>
    <w:p>
      <w:pPr>
        <w:pStyle w:val="Heading2"/>
        <w:spacing w:after="160" w:before="300"/>
      </w:pPr>
      <w:r>
        <w:rPr>
          <w:rFonts w:ascii="Georgia" w:cs="Georgia" w:eastAsia="Georgia" w:hAnsi="Georgia"/>
          <w:b/>
          <w:bCs/>
          <w:color w:val="1A1A1A"/>
          <w:sz w:val="25"/>
          <w:szCs w:val="25"/>
        </w:rPr>
        <w:t xml:space="preserve">Loan book and credit quality</w:t>
      </w:r>
    </w:p>
    <w:p>
      <w:pPr>
        <w:spacing w:after="140" w:before="0" w:line="320"/>
        <w:jc w:val="left"/>
      </w:pPr>
      <w:r>
        <w:rPr>
          <w:rFonts w:ascii="Calibri" w:cs="Calibri" w:eastAsia="Calibri" w:hAnsi="Calibri"/>
          <w:b w:val="false"/>
          <w:bCs w:val="false"/>
          <w:i w:val="false"/>
          <w:iCs w:val="false"/>
          <w:color w:val="1A1A1A"/>
          <w:sz w:val="22"/>
          <w:szCs w:val="22"/>
        </w:rPr>
        <w:t xml:space="preserve">Net loan book at quarter close: KES 55.2 billion. Q1 growth: 6.2%. The growth was concentrated in the first half of the quarter; second half growth was deliberately constrained pending strategic decisions on real estate concentration and digital lending posture.</w:t>
      </w:r>
    </w:p>
    <w:p>
      <w:pPr>
        <w:spacing w:after="140" w:before="0" w:line="320"/>
        <w:jc w:val="left"/>
      </w:pPr>
      <w:r>
        <w:rPr>
          <w:rFonts w:ascii="Calibri" w:cs="Calibri" w:eastAsia="Calibri" w:hAnsi="Calibri"/>
          <w:b w:val="false"/>
          <w:bCs w:val="false"/>
          <w:i w:val="false"/>
          <w:iCs w:val="false"/>
          <w:color w:val="1A1A1A"/>
          <w:sz w:val="22"/>
          <w:szCs w:val="22"/>
        </w:rPr>
        <w:t xml:space="preserve">Q1 NPL formation: KES 630 million (Jan KES 160m + Feb KES 160m + Mar KES 310m gross, partially offset by recoveries). The March formation was elevated by the Mwangaza Properties final classification (KES 145 million additional movement to Stage 3) and the migration of Imani Construction to Stage 2.</w:t>
      </w:r>
    </w:p>
    <w:p>
      <w:pPr>
        <w:spacing w:after="140" w:before="0" w:line="320"/>
        <w:jc w:val="left"/>
      </w:pPr>
      <w:r>
        <w:rPr>
          <w:rFonts w:ascii="Calibri" w:cs="Calibri" w:eastAsia="Calibri" w:hAnsi="Calibri"/>
          <w:b w:val="false"/>
          <w:bCs w:val="false"/>
          <w:i w:val="false"/>
          <w:iCs w:val="false"/>
          <w:color w:val="1A1A1A"/>
          <w:sz w:val="22"/>
          <w:szCs w:val="22"/>
        </w:rPr>
        <w:t xml:space="preserve">The Q1 close NPL ratio of 5.8% is the highest the Bank has reported since 2018. Management's view: NPL formation pace will moderate in Q2 as the watch-list growth has slowed in February-March and the most stressed exposures have now been classified.</w:t>
      </w:r>
    </w:p>
    <w:p>
      <w:pPr>
        <w:pStyle w:val="Heading2"/>
        <w:spacing w:after="160" w:before="300"/>
      </w:pPr>
      <w:r>
        <w:rPr>
          <w:rFonts w:ascii="Georgia" w:cs="Georgia" w:eastAsia="Georgia" w:hAnsi="Georgia"/>
          <w:b/>
          <w:bCs/>
          <w:color w:val="1A1A1A"/>
          <w:sz w:val="25"/>
          <w:szCs w:val="25"/>
        </w:rPr>
        <w:t xml:space="preserve">Capital and liquidity — Q1 close</w:t>
      </w:r>
    </w:p>
    <w:p>
      <w:pPr>
        <w:spacing w:after="140" w:before="0" w:line="320"/>
        <w:jc w:val="left"/>
      </w:pPr>
      <w:r>
        <w:rPr>
          <w:rFonts w:ascii="Calibri" w:cs="Calibri" w:eastAsia="Calibri" w:hAnsi="Calibri"/>
          <w:b w:val="false"/>
          <w:bCs w:val="false"/>
          <w:i w:val="false"/>
          <w:iCs w:val="false"/>
          <w:color w:val="1A1A1A"/>
          <w:sz w:val="22"/>
          <w:szCs w:val="22"/>
        </w:rPr>
        <w:t xml:space="preserve">Capital Adequacy Ratio at Q1 close: 14.18% (regulatory minimum 14.00%). Tier 1 ratio: 11.75%. Headroom of 18 basis points — the tightest the Bank has run.</w:t>
      </w:r>
    </w:p>
    <w:p>
      <w:pPr>
        <w:spacing w:after="140" w:before="0" w:line="320"/>
        <w:jc w:val="left"/>
      </w:pPr>
      <w:r>
        <w:rPr>
          <w:rFonts w:ascii="Calibri" w:cs="Calibri" w:eastAsia="Calibri" w:hAnsi="Calibri"/>
          <w:b w:val="false"/>
          <w:bCs w:val="false"/>
          <w:i w:val="false"/>
          <w:iCs w:val="false"/>
          <w:color w:val="1A1A1A"/>
          <w:sz w:val="22"/>
          <w:szCs w:val="22"/>
        </w:rPr>
        <w:t xml:space="preserve">The Tier 1 capital plan is now in advanced preparation. Stanbic (debt advisor) has presented final structuring recommendations: KES 1.2 billion five-year subordinated note callable after year three, indicative pricing 14.75%. Issuance window August-September 2026. Board paper for May meeting will recommend approval in principle.</w:t>
      </w:r>
    </w:p>
    <w:p>
      <w:pPr>
        <w:spacing w:after="140" w:before="0" w:line="320"/>
        <w:jc w:val="left"/>
      </w:pPr>
      <w:r>
        <w:rPr>
          <w:rFonts w:ascii="Calibri" w:cs="Calibri" w:eastAsia="Calibri" w:hAnsi="Calibri"/>
          <w:b w:val="false"/>
          <w:bCs w:val="false"/>
          <w:i w:val="false"/>
          <w:iCs w:val="false"/>
          <w:color w:val="1A1A1A"/>
          <w:sz w:val="22"/>
          <w:szCs w:val="22"/>
        </w:rPr>
        <w:t xml:space="preserve">LCR at Q1 close: 110%. NSFR: 105%. Liquidity remains within regulatory tolerance but compression continues.</w:t>
      </w:r>
    </w:p>
    <w:p>
      <w:pPr>
        <w:pStyle w:val="Heading2"/>
        <w:spacing w:after="160" w:before="300"/>
      </w:pPr>
      <w:r>
        <w:rPr>
          <w:rFonts w:ascii="Georgia" w:cs="Georgia" w:eastAsia="Georgia" w:hAnsi="Georgia"/>
          <w:b/>
          <w:bCs/>
          <w:color w:val="1A1A1A"/>
          <w:sz w:val="25"/>
          <w:szCs w:val="25"/>
        </w:rPr>
        <w:t xml:space="preserve">Digital banking</w:t>
      </w:r>
    </w:p>
    <w:p>
      <w:pPr>
        <w:spacing w:after="140" w:before="0" w:line="320"/>
        <w:jc w:val="left"/>
      </w:pPr>
      <w:r>
        <w:rPr>
          <w:rFonts w:ascii="Calibri" w:cs="Calibri" w:eastAsia="Calibri" w:hAnsi="Calibri"/>
          <w:b w:val="false"/>
          <w:bCs w:val="false"/>
          <w:i w:val="false"/>
          <w:iCs w:val="false"/>
          <w:color w:val="1A1A1A"/>
          <w:sz w:val="22"/>
          <w:szCs w:val="22"/>
        </w:rPr>
        <w:t xml:space="preserve">Active users at Q1 close: 442,000 (+13.2% Q1 growth). Monthly transaction volume: 5.7 million (+19% Q1).</w:t>
      </w:r>
    </w:p>
    <w:p>
      <w:pPr>
        <w:spacing w:after="140" w:before="0" w:line="320"/>
        <w:jc w:val="left"/>
      </w:pPr>
      <w:r>
        <w:rPr>
          <w:rFonts w:ascii="Calibri" w:cs="Calibri" w:eastAsia="Calibri" w:hAnsi="Calibri"/>
          <w:b w:val="false"/>
          <w:bCs w:val="false"/>
          <w:i w:val="false"/>
          <w:iCs w:val="false"/>
          <w:color w:val="1A1A1A"/>
          <w:sz w:val="22"/>
          <w:szCs w:val="22"/>
        </w:rPr>
        <w:t xml:space="preserve">Digital lending book: KES 4.80 billion (+19% Q1 growth — slowed materially in March). NPL ratio in digital book at 9.4%.</w:t>
      </w:r>
    </w:p>
    <w:p>
      <w:pPr>
        <w:spacing w:after="140" w:before="0" w:line="320"/>
        <w:jc w:val="left"/>
      </w:pPr>
      <w:r>
        <w:rPr>
          <w:rFonts w:ascii="Calibri" w:cs="Calibri" w:eastAsia="Calibri" w:hAnsi="Calibri"/>
          <w:b w:val="false"/>
          <w:bCs w:val="false"/>
          <w:i w:val="false"/>
          <w:iCs w:val="false"/>
          <w:color w:val="1A1A1A"/>
          <w:sz w:val="22"/>
          <w:szCs w:val="22"/>
        </w:rPr>
        <w:t xml:space="preserve">The digital lending risk remediation programme paper for May Board approval is now finalised. Programme components, timeline, and capital allocation as previewed in February. Implementation expected to begin early Q2 if approved.</w:t>
      </w:r>
    </w:p>
    <w:p>
      <w:pPr>
        <w:pStyle w:val="Heading2"/>
        <w:spacing w:after="160" w:before="300"/>
      </w:pPr>
      <w:r>
        <w:rPr>
          <w:rFonts w:ascii="Georgia" w:cs="Georgia" w:eastAsia="Georgia" w:hAnsi="Georgia"/>
          <w:b/>
          <w:bCs/>
          <w:color w:val="1A1A1A"/>
          <w:sz w:val="25"/>
          <w:szCs w:val="25"/>
        </w:rPr>
        <w:t xml:space="preserve">Cyber and operational risk</w:t>
      </w:r>
    </w:p>
    <w:p>
      <w:pPr>
        <w:spacing w:after="140" w:before="0" w:line="320"/>
        <w:jc w:val="left"/>
      </w:pPr>
      <w:r>
        <w:rPr>
          <w:rFonts w:ascii="Calibri" w:cs="Calibri" w:eastAsia="Calibri" w:hAnsi="Calibri"/>
          <w:b w:val="false"/>
          <w:bCs w:val="false"/>
          <w:i w:val="false"/>
          <w:iCs w:val="false"/>
          <w:color w:val="1A1A1A"/>
          <w:sz w:val="22"/>
          <w:szCs w:val="22"/>
        </w:rPr>
        <w:t xml:space="preserve">Q1 cyber attempts: 1,838 (vs 1,257 in Q4 2025 — 46% Q-o-Q growth). Successful events Q1: four (one BEC, two phishing-driven, one SQL injection contained). Direct losses Q1: KES 30 million.</w:t>
      </w:r>
    </w:p>
    <w:p>
      <w:pPr>
        <w:spacing w:after="140" w:before="0" w:line="320"/>
        <w:jc w:val="left"/>
      </w:pPr>
      <w:r>
        <w:rPr>
          <w:rFonts w:ascii="Calibri" w:cs="Calibri" w:eastAsia="Calibri" w:hAnsi="Calibri"/>
          <w:b w:val="false"/>
          <w:bCs w:val="false"/>
          <w:i w:val="false"/>
          <w:iCs w:val="false"/>
          <w:color w:val="1A1A1A"/>
          <w:sz w:val="22"/>
          <w:szCs w:val="22"/>
        </w:rPr>
        <w:t xml:space="preserve">The Mandiant cyber tooling assessment recommendations have been incorporated into the May Board paper for endorsement. Capital allocation: KES 95 million across Q2-Q3 2026.</w:t>
      </w:r>
    </w:p>
    <w:p>
      <w:pPr>
        <w:spacing w:after="140" w:before="0" w:line="320"/>
        <w:jc w:val="left"/>
      </w:pPr>
      <w:r>
        <w:rPr>
          <w:rFonts w:ascii="Calibri" w:cs="Calibri" w:eastAsia="Calibri" w:hAnsi="Calibri"/>
          <w:b w:val="false"/>
          <w:bCs w:val="false"/>
          <w:i w:val="false"/>
          <w:iCs w:val="false"/>
          <w:color w:val="1A1A1A"/>
          <w:sz w:val="22"/>
          <w:szCs w:val="22"/>
        </w:rPr>
        <w:t xml:space="preserve">Operational losses Q1: KES 141 million (vs Q4 2025 KES 85 million — 65% Q-o-Q growth). The composition reflects the cyber events, the Q4 insider fraud case completion, and a single major process event in March.</w:t>
      </w:r>
    </w:p>
    <w:p>
      <w:pPr>
        <w:pStyle w:val="Heading2"/>
        <w:spacing w:after="160" w:before="300"/>
      </w:pPr>
      <w:r>
        <w:rPr>
          <w:rFonts w:ascii="Georgia" w:cs="Georgia" w:eastAsia="Georgia" w:hAnsi="Georgia"/>
          <w:b/>
          <w:bCs/>
          <w:color w:val="1A1A1A"/>
          <w:sz w:val="25"/>
          <w:szCs w:val="25"/>
        </w:rPr>
        <w:t xml:space="preserve">Compliance</w:t>
      </w:r>
    </w:p>
    <w:p>
      <w:pPr>
        <w:spacing w:after="140" w:before="0" w:line="320"/>
        <w:jc w:val="left"/>
      </w:pPr>
      <w:r>
        <w:rPr>
          <w:rFonts w:ascii="Calibri" w:cs="Calibri" w:eastAsia="Calibri" w:hAnsi="Calibri"/>
          <w:b w:val="false"/>
          <w:bCs w:val="false"/>
          <w:i w:val="false"/>
          <w:iCs w:val="false"/>
          <w:color w:val="1A1A1A"/>
          <w:sz w:val="22"/>
          <w:szCs w:val="22"/>
        </w:rPr>
        <w:t xml:space="preserve">AML transaction monitoring rule recalibration in production observation. Internal Audit post-implementation review fieldwork completed; findings report expected by mid-April. Provisional findings are positive — detection patterns are functioning as designed and false positive rate is within acceptable bounds. Subject to formal Audit Committee review of findings, the CBK self-report closure can be filed in mid-to-late April.</w:t>
      </w:r>
    </w:p>
    <w:p>
      <w:pPr>
        <w:spacing w:after="140" w:before="0" w:line="320"/>
        <w:jc w:val="left"/>
      </w:pPr>
      <w:r>
        <w:rPr>
          <w:rFonts w:ascii="Calibri" w:cs="Calibri" w:eastAsia="Calibri" w:hAnsi="Calibri"/>
          <w:b w:val="false"/>
          <w:bCs w:val="false"/>
          <w:i w:val="false"/>
          <w:iCs w:val="false"/>
          <w:color w:val="1A1A1A"/>
          <w:sz w:val="22"/>
          <w:szCs w:val="22"/>
        </w:rPr>
        <w:t xml:space="preserve">Open audit findings at Q1 close: 38 (13 high-risk). Two of three findings outstanding over twelve months were closed during March (treasury operations finding, IT/cyber access management finding). The third (Branch Operations) was escalated to CEO on 12 March; closure now committed for 30 April with Internal Audit formal sign-off.</w:t>
      </w:r>
    </w:p>
    <w:p>
      <w:pPr>
        <w:pStyle w:val="Heading2"/>
        <w:spacing w:after="160" w:before="300"/>
      </w:pPr>
      <w:r>
        <w:rPr>
          <w:rFonts w:ascii="Georgia" w:cs="Georgia" w:eastAsia="Georgia" w:hAnsi="Georgia"/>
          <w:b/>
          <w:bCs/>
          <w:color w:val="1A1A1A"/>
          <w:sz w:val="25"/>
          <w:szCs w:val="25"/>
        </w:rPr>
        <w:t xml:space="preserve">Recommendations to the Board</w:t>
      </w:r>
    </w:p>
    <w:p>
      <w:pPr>
        <w:pStyle w:val="ListParagraph"/>
        <w:numPr>
          <w:ilvl w:val="0"/>
          <w:numId w:val="2"/>
        </w:numPr>
        <w:spacing w:after="90" w:line="320"/>
      </w:pPr>
      <w:r>
        <w:rPr>
          <w:rFonts w:ascii="Calibri" w:cs="Calibri" w:eastAsia="Calibri" w:hAnsi="Calibri"/>
          <w:color w:val="1A1A1A"/>
          <w:sz w:val="22"/>
          <w:szCs w:val="22"/>
        </w:rPr>
        <w:t xml:space="preserve">Note Q1 close position with provisioning coverage restored to regulatory minimum.</w:t>
      </w:r>
    </w:p>
    <w:p>
      <w:pPr>
        <w:pStyle w:val="ListParagraph"/>
        <w:numPr>
          <w:ilvl w:val="0"/>
          <w:numId w:val="2"/>
        </w:numPr>
        <w:spacing w:after="90" w:line="320"/>
      </w:pPr>
      <w:r>
        <w:rPr>
          <w:rFonts w:ascii="Calibri" w:cs="Calibri" w:eastAsia="Calibri" w:hAnsi="Calibri"/>
          <w:color w:val="1A1A1A"/>
          <w:sz w:val="22"/>
          <w:szCs w:val="22"/>
        </w:rPr>
        <w:t xml:space="preserve">Approve the Tier 1 capital plan in principle for Q3 issuance.</w:t>
      </w:r>
    </w:p>
    <w:p>
      <w:pPr>
        <w:pStyle w:val="ListParagraph"/>
        <w:numPr>
          <w:ilvl w:val="0"/>
          <w:numId w:val="2"/>
        </w:numPr>
        <w:spacing w:after="90" w:line="320"/>
      </w:pPr>
      <w:r>
        <w:rPr>
          <w:rFonts w:ascii="Calibri" w:cs="Calibri" w:eastAsia="Calibri" w:hAnsi="Calibri"/>
          <w:color w:val="1A1A1A"/>
          <w:sz w:val="22"/>
          <w:szCs w:val="22"/>
        </w:rPr>
        <w:t xml:space="preserve">Approve the digital lending risk remediation programme and capital allocation.</w:t>
      </w:r>
    </w:p>
    <w:p>
      <w:pPr>
        <w:pStyle w:val="ListParagraph"/>
        <w:numPr>
          <w:ilvl w:val="0"/>
          <w:numId w:val="2"/>
        </w:numPr>
        <w:spacing w:after="90" w:line="320"/>
      </w:pPr>
      <w:r>
        <w:rPr>
          <w:rFonts w:ascii="Calibri" w:cs="Calibri" w:eastAsia="Calibri" w:hAnsi="Calibri"/>
          <w:color w:val="1A1A1A"/>
          <w:sz w:val="22"/>
          <w:szCs w:val="22"/>
        </w:rPr>
        <w:t xml:space="preserve">Approve the cyber tooling investment of KES 95 million across Q2-Q3 2026.</w:t>
      </w:r>
    </w:p>
    <w:p>
      <w:pPr>
        <w:pStyle w:val="ListParagraph"/>
        <w:numPr>
          <w:ilvl w:val="0"/>
          <w:numId w:val="2"/>
        </w:numPr>
        <w:spacing w:after="90" w:line="320"/>
      </w:pPr>
      <w:r>
        <w:rPr>
          <w:rFonts w:ascii="Calibri" w:cs="Calibri" w:eastAsia="Calibri" w:hAnsi="Calibri"/>
          <w:color w:val="1A1A1A"/>
          <w:sz w:val="22"/>
          <w:szCs w:val="22"/>
        </w:rPr>
        <w:t xml:space="preserve">Note Q1 cyber events and the elevation of cyber posture to standing Board agenda item.</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8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Audit Committee Paper — March 2026 (consolidated Q1 review)</w:t>
      </w:r>
    </w:p>
    <w:p>
      <w:pPr>
        <w:spacing w:after="240"/>
      </w:pPr>
      <w:r>
        <w:rPr>
          <w:rFonts w:ascii="Georgia" w:cs="Georgia" w:eastAsia="Georgia" w:hAnsi="Georgia"/>
          <w:i/>
          <w:iCs/>
          <w:color w:val="2B2B2A"/>
          <w:sz w:val="26"/>
          <w:szCs w:val="26"/>
        </w:rPr>
        <w:t xml:space="preserve">For the Audit Committee meeting of 8 May 2026 (combined with pre-Board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Meeting 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 May 2026, 09:30 — 13:00</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Note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Combined Q1 review and pre-Board preparation meeting</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Purpose of this paper</w:t>
      </w:r>
    </w:p>
    <w:p>
      <w:pPr>
        <w:spacing w:after="140" w:before="0" w:line="320"/>
        <w:jc w:val="left"/>
      </w:pPr>
      <w:r>
        <w:rPr>
          <w:rFonts w:ascii="Calibri" w:cs="Calibri" w:eastAsia="Calibri" w:hAnsi="Calibri"/>
          <w:b w:val="false"/>
          <w:bCs w:val="false"/>
          <w:i w:val="false"/>
          <w:iCs w:val="false"/>
          <w:color w:val="1A1A1A"/>
          <w:sz w:val="22"/>
          <w:szCs w:val="22"/>
        </w:rPr>
        <w:t xml:space="preserve">This is the consolidated Q1 review paper for the Audit Committee. It synthesises the Committee's deliberations across the January, February, and March meetings; receives the formal management Q1 close report; reviews the PwC interim provisioning adequacy review; and presents the Committee's recommendations to the Board for the 15 May meeting.</w:t>
      </w:r>
    </w:p>
    <w:p>
      <w:pPr>
        <w:pStyle w:val="Heading2"/>
        <w:spacing w:after="160" w:before="300"/>
      </w:pPr>
      <w:r>
        <w:rPr>
          <w:rFonts w:ascii="Georgia" w:cs="Georgia" w:eastAsia="Georgia" w:hAnsi="Georgia"/>
          <w:b/>
          <w:bCs/>
          <w:color w:val="1A1A1A"/>
          <w:sz w:val="25"/>
          <w:szCs w:val="25"/>
        </w:rPr>
        <w:t xml:space="preserve">1. Q1 close — Audit Committee summary view</w:t>
      </w:r>
    </w:p>
    <w:p>
      <w:pPr>
        <w:spacing w:after="140" w:before="0" w:line="320"/>
        <w:jc w:val="left"/>
      </w:pPr>
      <w:r>
        <w:rPr>
          <w:rFonts w:ascii="Calibri" w:cs="Calibri" w:eastAsia="Calibri" w:hAnsi="Calibri"/>
          <w:b w:val="false"/>
          <w:bCs w:val="false"/>
          <w:i w:val="false"/>
          <w:iCs w:val="false"/>
          <w:color w:val="1A1A1A"/>
          <w:sz w:val="22"/>
          <w:szCs w:val="22"/>
        </w:rPr>
        <w:t xml:space="preserve">The Q1 close represents both the most stressed quarterly close in five years and the successful execution of a remediation trajectory the Committee endorsed in December 2025. Provisioning coverage closed at 50.2% — meeting the regulatory minimum. Capital adequacy held at 14.18% — above the regulatory minimum but with the tightest headroom in the Bank's recent history.</w:t>
      </w:r>
    </w:p>
    <w:p>
      <w:pPr>
        <w:spacing w:after="140" w:before="0" w:line="320"/>
        <w:jc w:val="left"/>
      </w:pPr>
      <w:r>
        <w:rPr>
          <w:rFonts w:ascii="Calibri" w:cs="Calibri" w:eastAsia="Calibri" w:hAnsi="Calibri"/>
          <w:b w:val="false"/>
          <w:bCs w:val="false"/>
          <w:i w:val="false"/>
          <w:iCs w:val="false"/>
          <w:color w:val="1A1A1A"/>
          <w:sz w:val="22"/>
          <w:szCs w:val="22"/>
        </w:rPr>
        <w:t xml:space="preserve">The Committee's view is that Q1 demonstrated both the seriousness of the issues that surfaced in late 2025 and the responsiveness of management's remediation. The trajectory across the quarter — from KES 41% coverage in January to 50.2% at quarter close — was achieved through three additional provisioning tranches totalling KES 245 million above original plan, with corresponding compression of Q1 profitability.</w:t>
      </w:r>
    </w:p>
    <w:p>
      <w:pPr>
        <w:pStyle w:val="Heading2"/>
        <w:spacing w:after="160" w:before="300"/>
      </w:pPr>
      <w:r>
        <w:rPr>
          <w:rFonts w:ascii="Georgia" w:cs="Georgia" w:eastAsia="Georgia" w:hAnsi="Georgia"/>
          <w:b/>
          <w:bCs/>
          <w:color w:val="1A1A1A"/>
          <w:sz w:val="25"/>
          <w:szCs w:val="25"/>
        </w:rPr>
        <w:t xml:space="preserve">2. PwC interim provisioning adequacy review</w:t>
      </w:r>
    </w:p>
    <w:p>
      <w:pPr>
        <w:spacing w:after="140" w:before="0" w:line="320"/>
        <w:jc w:val="left"/>
      </w:pPr>
      <w:r>
        <w:rPr>
          <w:rFonts w:ascii="Calibri" w:cs="Calibri" w:eastAsia="Calibri" w:hAnsi="Calibri"/>
          <w:b w:val="false"/>
          <w:bCs w:val="false"/>
          <w:i w:val="false"/>
          <w:iCs w:val="false"/>
          <w:color w:val="1A1A1A"/>
          <w:sz w:val="22"/>
          <w:szCs w:val="22"/>
        </w:rPr>
        <w:t xml:space="preserve">PwC's interim review report dated 22 April 2026 confirms management's coverage calculation at Q1 close. The review identifies three matters for management attention but does not raise findings warranting Committee escalation:</w:t>
      </w:r>
    </w:p>
    <w:p>
      <w:pPr>
        <w:pStyle w:val="ListParagraph"/>
        <w:numPr>
          <w:ilvl w:val="0"/>
          <w:numId w:val="2"/>
        </w:numPr>
        <w:spacing w:after="90" w:line="320"/>
      </w:pPr>
      <w:r>
        <w:rPr>
          <w:rFonts w:ascii="Calibri" w:cs="Calibri" w:eastAsia="Calibri" w:hAnsi="Calibri"/>
          <w:color w:val="1A1A1A"/>
          <w:sz w:val="22"/>
          <w:szCs w:val="22"/>
        </w:rPr>
        <w:t xml:space="preserve">PwC observe the digital lending provisioning model refresh (Deloitte work) is appropriate and recommend Q2 implementation.</w:t>
      </w:r>
    </w:p>
    <w:p>
      <w:pPr>
        <w:pStyle w:val="ListParagraph"/>
        <w:numPr>
          <w:ilvl w:val="0"/>
          <w:numId w:val="2"/>
        </w:numPr>
        <w:spacing w:after="90" w:line="320"/>
      </w:pPr>
      <w:r>
        <w:rPr>
          <w:rFonts w:ascii="Calibri" w:cs="Calibri" w:eastAsia="Calibri" w:hAnsi="Calibri"/>
          <w:color w:val="1A1A1A"/>
          <w:sz w:val="22"/>
          <w:szCs w:val="22"/>
        </w:rPr>
        <w:t xml:space="preserve">PwC note the corporate book provisioning model has not been refreshed in the past 18 months and recommend a similar refresh be initiated in H2 2026.</w:t>
      </w:r>
    </w:p>
    <w:p>
      <w:pPr>
        <w:pStyle w:val="ListParagraph"/>
        <w:numPr>
          <w:ilvl w:val="0"/>
          <w:numId w:val="2"/>
        </w:numPr>
        <w:spacing w:after="90" w:line="320"/>
      </w:pPr>
      <w:r>
        <w:rPr>
          <w:rFonts w:ascii="Calibri" w:cs="Calibri" w:eastAsia="Calibri" w:hAnsi="Calibri"/>
          <w:color w:val="1A1A1A"/>
          <w:sz w:val="22"/>
          <w:szCs w:val="22"/>
        </w:rPr>
        <w:t xml:space="preserve">PwC observe the model validation process did not detect the digital lending model calibration gap and recommend the validation process itself be reviewed; this aligns with the Committee's March resolution.</w:t>
      </w:r>
    </w:p>
    <w:p>
      <w:pPr>
        <w:pStyle w:val="Heading2"/>
        <w:spacing w:after="160" w:before="300"/>
      </w:pPr>
      <w:r>
        <w:rPr>
          <w:rFonts w:ascii="Georgia" w:cs="Georgia" w:eastAsia="Georgia" w:hAnsi="Georgia"/>
          <w:b/>
          <w:bCs/>
          <w:color w:val="1A1A1A"/>
          <w:sz w:val="25"/>
          <w:szCs w:val="25"/>
        </w:rPr>
        <w:t xml:space="preserve">3. AML transaction monitoring — closure of CBK self-report</w:t>
      </w:r>
    </w:p>
    <w:p>
      <w:pPr>
        <w:spacing w:after="140" w:before="0" w:line="320"/>
        <w:jc w:val="left"/>
      </w:pPr>
      <w:r>
        <w:rPr>
          <w:rFonts w:ascii="Calibri" w:cs="Calibri" w:eastAsia="Calibri" w:hAnsi="Calibri"/>
          <w:b w:val="false"/>
          <w:bCs w:val="false"/>
          <w:i w:val="false"/>
          <w:iCs w:val="false"/>
          <w:color w:val="1A1A1A"/>
          <w:sz w:val="22"/>
          <w:szCs w:val="22"/>
        </w:rPr>
        <w:t xml:space="preserve">Internal Audit post-implementation review report dated 14 April 2026 confirms the recalibrated transaction monitoring rules are functioning as designed. Detection patterns are appropriate; false positive rate within tolerance; operational handling effective.</w:t>
      </w:r>
    </w:p>
    <w:p>
      <w:pPr>
        <w:spacing w:after="140" w:before="0" w:line="320"/>
        <w:jc w:val="left"/>
      </w:pPr>
      <w:r>
        <w:rPr>
          <w:rFonts w:ascii="Calibri" w:cs="Calibri" w:eastAsia="Calibri" w:hAnsi="Calibri"/>
          <w:b w:val="false"/>
          <w:bCs w:val="false"/>
          <w:i w:val="false"/>
          <w:iCs w:val="false"/>
          <w:color w:val="1A1A1A"/>
          <w:sz w:val="22"/>
          <w:szCs w:val="22"/>
        </w:rPr>
        <w:t xml:space="preserve">On the basis of the Internal Audit confirmation, the CBK self-report can be formally closed. Management proposes filing the closure notice on 28 April 2026. The Committee endorses this action.</w:t>
      </w:r>
    </w:p>
    <w:p>
      <w:pPr>
        <w:pStyle w:val="Heading2"/>
        <w:spacing w:after="160" w:before="300"/>
      </w:pPr>
      <w:r>
        <w:rPr>
          <w:rFonts w:ascii="Georgia" w:cs="Georgia" w:eastAsia="Georgia" w:hAnsi="Georgia"/>
          <w:b/>
          <w:bCs/>
          <w:color w:val="1A1A1A"/>
          <w:sz w:val="25"/>
          <w:szCs w:val="25"/>
        </w:rPr>
        <w:t xml:space="preserve">4. Three matters for Board recommendation</w:t>
      </w:r>
    </w:p>
    <w:p>
      <w:pPr>
        <w:pStyle w:val="Heading3"/>
        <w:spacing w:after="120" w:before="220"/>
      </w:pPr>
      <w:r>
        <w:rPr>
          <w:rFonts w:ascii="Calibri" w:cs="Calibri" w:eastAsia="Calibri" w:hAnsi="Calibri"/>
          <w:b/>
          <w:bCs/>
          <w:color w:val="1A1A1A"/>
          <w:sz w:val="22"/>
          <w:szCs w:val="22"/>
        </w:rPr>
        <w:t xml:space="preserve">4.1 Tier 1 capital plan</w:t>
      </w:r>
    </w:p>
    <w:p>
      <w:pPr>
        <w:spacing w:after="140" w:before="0" w:line="320"/>
        <w:jc w:val="left"/>
      </w:pPr>
      <w:r>
        <w:rPr>
          <w:rFonts w:ascii="Calibri" w:cs="Calibri" w:eastAsia="Calibri" w:hAnsi="Calibri"/>
          <w:b w:val="false"/>
          <w:bCs w:val="false"/>
          <w:i w:val="false"/>
          <w:iCs w:val="false"/>
          <w:color w:val="1A1A1A"/>
          <w:sz w:val="22"/>
          <w:szCs w:val="22"/>
        </w:rPr>
        <w:t xml:space="preserve">Management recommendation: Tier 1 issuance of KES 1.2 billion structured as a five-year subordinated note callable after year three. Indicative pricing 14.75%. Issuance window August-September 2026.</w:t>
      </w:r>
    </w:p>
    <w:p>
      <w:pPr>
        <w:spacing w:after="140" w:before="0" w:line="320"/>
        <w:jc w:val="left"/>
      </w:pPr>
      <w:r>
        <w:rPr>
          <w:rFonts w:ascii="Calibri" w:cs="Calibri" w:eastAsia="Calibri" w:hAnsi="Calibri"/>
          <w:b w:val="false"/>
          <w:bCs w:val="false"/>
          <w:i w:val="false"/>
          <w:iCs w:val="false"/>
          <w:color w:val="1A1A1A"/>
          <w:sz w:val="22"/>
          <w:szCs w:val="22"/>
        </w:rPr>
        <w:t xml:space="preserve">Audit Committee perspective: the plan addresses the capital headroom issue. The structural choice (subordinated note rather than rights issue or strategic investor) preserves shareholder structure but commits the Bank to elevated funding cost for five years. The Committee finds the trade-off acceptable for a mid-tier bank in the current market context.</w:t>
      </w:r>
    </w:p>
    <w:p>
      <w:pPr>
        <w:pStyle w:val="Heading3"/>
        <w:spacing w:after="120" w:before="220"/>
      </w:pPr>
      <w:r>
        <w:rPr>
          <w:rFonts w:ascii="Calibri" w:cs="Calibri" w:eastAsia="Calibri" w:hAnsi="Calibri"/>
          <w:b/>
          <w:bCs/>
          <w:color w:val="1A1A1A"/>
          <w:sz w:val="22"/>
          <w:szCs w:val="22"/>
        </w:rPr>
        <w:t xml:space="preserve">Committee recommendation to Board</w:t>
      </w:r>
    </w:p>
    <w:p>
      <w:pPr>
        <w:pStyle w:val="ListParagraph"/>
        <w:numPr>
          <w:ilvl w:val="0"/>
          <w:numId w:val="2"/>
        </w:numPr>
        <w:spacing w:after="90" w:line="320"/>
      </w:pPr>
      <w:r>
        <w:rPr>
          <w:rFonts w:ascii="Calibri" w:cs="Calibri" w:eastAsia="Calibri" w:hAnsi="Calibri"/>
          <w:color w:val="1A1A1A"/>
          <w:sz w:val="22"/>
          <w:szCs w:val="22"/>
        </w:rPr>
        <w:t xml:space="preserve">Approve the Tier 1 capital plan in principle, with detailed pricing and timing to be presented at Board Risk Committee in May or June.</w:t>
      </w:r>
    </w:p>
    <w:p>
      <w:pPr>
        <w:pStyle w:val="ListParagraph"/>
        <w:numPr>
          <w:ilvl w:val="0"/>
          <w:numId w:val="2"/>
        </w:numPr>
        <w:spacing w:after="90" w:line="320"/>
      </w:pPr>
      <w:r>
        <w:rPr>
          <w:rFonts w:ascii="Calibri" w:cs="Calibri" w:eastAsia="Calibri" w:hAnsi="Calibri"/>
          <w:color w:val="1A1A1A"/>
          <w:sz w:val="22"/>
          <w:szCs w:val="22"/>
        </w:rPr>
        <w:t xml:space="preserve">Direct management to engage shareholders on the issuance ahead of the August window.</w:t>
      </w:r>
    </w:p>
    <w:p>
      <w:pPr>
        <w:pStyle w:val="Heading3"/>
        <w:spacing w:after="120" w:before="220"/>
      </w:pPr>
      <w:r>
        <w:rPr>
          <w:rFonts w:ascii="Calibri" w:cs="Calibri" w:eastAsia="Calibri" w:hAnsi="Calibri"/>
          <w:b/>
          <w:bCs/>
          <w:color w:val="1A1A1A"/>
          <w:sz w:val="22"/>
          <w:szCs w:val="22"/>
        </w:rPr>
        <w:t xml:space="preserve">4.2 Digital lending risk remediation programme</w:t>
      </w:r>
    </w:p>
    <w:p>
      <w:pPr>
        <w:spacing w:after="140" w:before="0" w:line="320"/>
        <w:jc w:val="left"/>
      </w:pPr>
      <w:r>
        <w:rPr>
          <w:rFonts w:ascii="Calibri" w:cs="Calibri" w:eastAsia="Calibri" w:hAnsi="Calibri"/>
          <w:b w:val="false"/>
          <w:bCs w:val="false"/>
          <w:i w:val="false"/>
          <w:iCs w:val="false"/>
          <w:color w:val="1A1A1A"/>
          <w:sz w:val="22"/>
          <w:szCs w:val="22"/>
        </w:rPr>
        <w:t xml:space="preserve">Management recommendation: pause new digital lending product launches Q2-Q3 2026; refresh of origination scoring; rebuild of digital book collections infrastructure; cyber and fraud detection upgrade. Capital allocation: KES 280 million across Q2-Q3.</w:t>
      </w:r>
    </w:p>
    <w:p>
      <w:pPr>
        <w:spacing w:after="140" w:before="0" w:line="320"/>
        <w:jc w:val="left"/>
      </w:pPr>
      <w:r>
        <w:rPr>
          <w:rFonts w:ascii="Calibri" w:cs="Calibri" w:eastAsia="Calibri" w:hAnsi="Calibri"/>
          <w:b w:val="false"/>
          <w:bCs w:val="false"/>
          <w:i w:val="false"/>
          <w:iCs w:val="false"/>
          <w:color w:val="1A1A1A"/>
          <w:sz w:val="22"/>
          <w:szCs w:val="22"/>
        </w:rPr>
        <w:t xml:space="preserve">Audit Committee perspective: the programme addresses the risk infrastructure gap that has produced the digital book NPL deterioration. The pause on new product launches is the most disciplined element — it would have been politically uncomfortable to recommend without the operational data, but the data is unambiguous.</w:t>
      </w:r>
    </w:p>
    <w:p>
      <w:pPr>
        <w:pStyle w:val="Heading3"/>
        <w:spacing w:after="120" w:before="220"/>
      </w:pPr>
      <w:r>
        <w:rPr>
          <w:rFonts w:ascii="Calibri" w:cs="Calibri" w:eastAsia="Calibri" w:hAnsi="Calibri"/>
          <w:b/>
          <w:bCs/>
          <w:color w:val="1A1A1A"/>
          <w:sz w:val="22"/>
          <w:szCs w:val="22"/>
        </w:rPr>
        <w:t xml:space="preserve">Committee recommendation to Board</w:t>
      </w:r>
    </w:p>
    <w:p>
      <w:pPr>
        <w:pStyle w:val="ListParagraph"/>
        <w:numPr>
          <w:ilvl w:val="0"/>
          <w:numId w:val="2"/>
        </w:numPr>
        <w:spacing w:after="90" w:line="320"/>
      </w:pPr>
      <w:r>
        <w:rPr>
          <w:rFonts w:ascii="Calibri" w:cs="Calibri" w:eastAsia="Calibri" w:hAnsi="Calibri"/>
          <w:color w:val="1A1A1A"/>
          <w:sz w:val="22"/>
          <w:szCs w:val="22"/>
        </w:rPr>
        <w:t xml:space="preserve">Approve the digital lending risk remediation programme and the capital allocation.</w:t>
      </w:r>
    </w:p>
    <w:p>
      <w:pPr>
        <w:pStyle w:val="ListParagraph"/>
        <w:numPr>
          <w:ilvl w:val="0"/>
          <w:numId w:val="2"/>
        </w:numPr>
        <w:spacing w:after="90" w:line="320"/>
      </w:pPr>
      <w:r>
        <w:rPr>
          <w:rFonts w:ascii="Calibri" w:cs="Calibri" w:eastAsia="Calibri" w:hAnsi="Calibri"/>
          <w:color w:val="1A1A1A"/>
          <w:sz w:val="22"/>
          <w:szCs w:val="22"/>
        </w:rPr>
        <w:t xml:space="preserve">Direct management to coordinate the remediation with the cyber tooling investment programme to avoid duplication on fraud detection.</w:t>
      </w:r>
    </w:p>
    <w:p>
      <w:pPr>
        <w:pStyle w:val="Heading3"/>
        <w:spacing w:after="120" w:before="220"/>
      </w:pPr>
      <w:r>
        <w:rPr>
          <w:rFonts w:ascii="Calibri" w:cs="Calibri" w:eastAsia="Calibri" w:hAnsi="Calibri"/>
          <w:b/>
          <w:bCs/>
          <w:color w:val="1A1A1A"/>
          <w:sz w:val="22"/>
          <w:szCs w:val="22"/>
        </w:rPr>
        <w:t xml:space="preserve">4.3 Cyber tooling investment</w:t>
      </w:r>
    </w:p>
    <w:p>
      <w:pPr>
        <w:spacing w:after="140" w:before="0" w:line="320"/>
        <w:jc w:val="left"/>
      </w:pPr>
      <w:r>
        <w:rPr>
          <w:rFonts w:ascii="Calibri" w:cs="Calibri" w:eastAsia="Calibri" w:hAnsi="Calibri"/>
          <w:b w:val="false"/>
          <w:bCs w:val="false"/>
          <w:i w:val="false"/>
          <w:iCs w:val="false"/>
          <w:color w:val="1A1A1A"/>
          <w:sz w:val="22"/>
          <w:szCs w:val="22"/>
        </w:rPr>
        <w:t xml:space="preserve">Management recommendation: cyber tooling investment of KES 95 million across Q2-Q3 2026 covering MDR, patching automation, IAM platform refresh; operational capacity expansion of three FTEs.</w:t>
      </w:r>
    </w:p>
    <w:p>
      <w:pPr>
        <w:spacing w:after="140" w:before="0" w:line="320"/>
        <w:jc w:val="left"/>
      </w:pPr>
      <w:r>
        <w:rPr>
          <w:rFonts w:ascii="Calibri" w:cs="Calibri" w:eastAsia="Calibri" w:hAnsi="Calibri"/>
          <w:b w:val="false"/>
          <w:bCs w:val="false"/>
          <w:i w:val="false"/>
          <w:iCs w:val="false"/>
          <w:color w:val="1A1A1A"/>
          <w:sz w:val="22"/>
          <w:szCs w:val="22"/>
        </w:rPr>
        <w:t xml:space="preserve">Audit Committee perspective: the recommendations are proportionate to the threat trajectory. The Q1 cyber events (BEC, phishing, SQL injection contained) demonstrated specific control weaknesses that the recommendations would address.</w:t>
      </w:r>
    </w:p>
    <w:p>
      <w:pPr>
        <w:pStyle w:val="Heading3"/>
        <w:spacing w:after="120" w:before="220"/>
      </w:pPr>
      <w:r>
        <w:rPr>
          <w:rFonts w:ascii="Calibri" w:cs="Calibri" w:eastAsia="Calibri" w:hAnsi="Calibri"/>
          <w:b/>
          <w:bCs/>
          <w:color w:val="1A1A1A"/>
          <w:sz w:val="22"/>
          <w:szCs w:val="22"/>
        </w:rPr>
        <w:t xml:space="preserve">Committee recommendation to Board</w:t>
      </w:r>
    </w:p>
    <w:p>
      <w:pPr>
        <w:pStyle w:val="ListParagraph"/>
        <w:numPr>
          <w:ilvl w:val="0"/>
          <w:numId w:val="2"/>
        </w:numPr>
        <w:spacing w:after="90" w:line="320"/>
      </w:pPr>
      <w:r>
        <w:rPr>
          <w:rFonts w:ascii="Calibri" w:cs="Calibri" w:eastAsia="Calibri" w:hAnsi="Calibri"/>
          <w:color w:val="1A1A1A"/>
          <w:sz w:val="22"/>
          <w:szCs w:val="22"/>
        </w:rPr>
        <w:t xml:space="preserve">Approve the cyber tooling investment of KES 95 million.</w:t>
      </w:r>
    </w:p>
    <w:p>
      <w:pPr>
        <w:pStyle w:val="ListParagraph"/>
        <w:numPr>
          <w:ilvl w:val="0"/>
          <w:numId w:val="2"/>
        </w:numPr>
        <w:spacing w:after="90" w:line="320"/>
      </w:pPr>
      <w:r>
        <w:rPr>
          <w:rFonts w:ascii="Calibri" w:cs="Calibri" w:eastAsia="Calibri" w:hAnsi="Calibri"/>
          <w:color w:val="1A1A1A"/>
          <w:sz w:val="22"/>
          <w:szCs w:val="22"/>
        </w:rPr>
        <w:t xml:space="preserve">Approve the operational capacity expansion of three FTEs in security operations.</w:t>
      </w:r>
    </w:p>
    <w:p>
      <w:pPr>
        <w:pStyle w:val="ListParagraph"/>
        <w:numPr>
          <w:ilvl w:val="0"/>
          <w:numId w:val="2"/>
        </w:numPr>
        <w:spacing w:after="90" w:line="320"/>
      </w:pPr>
      <w:r>
        <w:rPr>
          <w:rFonts w:ascii="Calibri" w:cs="Calibri" w:eastAsia="Calibri" w:hAnsi="Calibri"/>
          <w:color w:val="1A1A1A"/>
          <w:sz w:val="22"/>
          <w:szCs w:val="22"/>
        </w:rPr>
        <w:t xml:space="preserve">Endorse the elevation of cyber posture to a standing Board agenda item.</w:t>
      </w:r>
    </w:p>
    <w:p>
      <w:pPr>
        <w:pStyle w:val="Heading2"/>
        <w:spacing w:after="160" w:before="300"/>
      </w:pPr>
      <w:r>
        <w:rPr>
          <w:rFonts w:ascii="Georgia" w:cs="Georgia" w:eastAsia="Georgia" w:hAnsi="Georgia"/>
          <w:b/>
          <w:bCs/>
          <w:color w:val="1A1A1A"/>
          <w:sz w:val="25"/>
          <w:szCs w:val="25"/>
        </w:rPr>
        <w:t xml:space="preserve">5. Audit findings — Q1 close</w:t>
      </w:r>
    </w:p>
    <w:p>
      <w:pPr>
        <w:spacing w:after="140" w:before="0" w:line="320"/>
        <w:jc w:val="left"/>
      </w:pPr>
      <w:r>
        <w:rPr>
          <w:rFonts w:ascii="Calibri" w:cs="Calibri" w:eastAsia="Calibri" w:hAnsi="Calibri"/>
          <w:b w:val="false"/>
          <w:bCs w:val="false"/>
          <w:i w:val="false"/>
          <w:iCs w:val="false"/>
          <w:color w:val="1A1A1A"/>
          <w:sz w:val="22"/>
          <w:szCs w:val="22"/>
        </w:rPr>
        <w:t xml:space="preserve">Open findings at Q1 close: 38 (13 high-risk). Three findings outstanding over twelve months were closed or are committed to closure: treasury operations (closed March), IT/cyber access management (closed March), Branch Operations (committed 30 April closure following CEO escalation).</w:t>
      </w:r>
    </w:p>
    <w:p>
      <w:pPr>
        <w:spacing w:after="140" w:before="0" w:line="320"/>
        <w:jc w:val="left"/>
      </w:pPr>
      <w:r>
        <w:rPr>
          <w:rFonts w:ascii="Calibri" w:cs="Calibri" w:eastAsia="Calibri" w:hAnsi="Calibri"/>
          <w:b w:val="false"/>
          <w:bCs w:val="false"/>
          <w:i w:val="false"/>
          <w:iCs w:val="false"/>
          <w:color w:val="1A1A1A"/>
          <w:sz w:val="22"/>
          <w:szCs w:val="22"/>
        </w:rPr>
        <w:t xml:space="preserve">The Findings Remediation Tracker is now in production. The first tracker report will be presented at the Audit Committee meeting concurrent with this paper (May 8); subsequent reports quarterly to Audit Committee and to the Board.</w:t>
      </w:r>
    </w:p>
    <w:p>
      <w:pPr>
        <w:pStyle w:val="Heading2"/>
        <w:spacing w:after="160" w:before="300"/>
      </w:pPr>
      <w:r>
        <w:rPr>
          <w:rFonts w:ascii="Georgia" w:cs="Georgia" w:eastAsia="Georgia" w:hAnsi="Georgia"/>
          <w:b/>
          <w:bCs/>
          <w:color w:val="1A1A1A"/>
          <w:sz w:val="25"/>
          <w:szCs w:val="25"/>
        </w:rPr>
        <w:t xml:space="preserve">6. Internal Audit Head succession</w:t>
      </w:r>
    </w:p>
    <w:p>
      <w:pPr>
        <w:spacing w:after="140" w:before="0" w:line="320"/>
        <w:jc w:val="left"/>
      </w:pPr>
      <w:r>
        <w:rPr>
          <w:rFonts w:ascii="Calibri" w:cs="Calibri" w:eastAsia="Calibri" w:hAnsi="Calibri"/>
          <w:b w:val="false"/>
          <w:bCs w:val="false"/>
          <w:i w:val="false"/>
          <w:iCs w:val="false"/>
          <w:color w:val="1A1A1A"/>
          <w:sz w:val="22"/>
          <w:szCs w:val="22"/>
        </w:rPr>
        <w:t xml:space="preserve">Three candidates were interviewed during April. The Audit Committee succession sub-committee (Bram Mwalo, James Kiprop, HR Director) has reached preliminary alignment on a preferred candidate. Final recommendation to be presented at the June Audit Committee meeting; Board approval at the June Board meeting.</w:t>
      </w:r>
    </w:p>
    <w:p>
      <w:pPr>
        <w:pStyle w:val="Heading2"/>
        <w:spacing w:after="160" w:before="300"/>
      </w:pPr>
      <w:r>
        <w:rPr>
          <w:rFonts w:ascii="Georgia" w:cs="Georgia" w:eastAsia="Georgia" w:hAnsi="Georgia"/>
          <w:b/>
          <w:bCs/>
          <w:color w:val="1A1A1A"/>
          <w:sz w:val="25"/>
          <w:szCs w:val="25"/>
        </w:rPr>
        <w:t xml:space="preserve">Decisions requested from the Audit Committee</w:t>
      </w:r>
    </w:p>
    <w:p>
      <w:pPr>
        <w:pStyle w:val="ListParagraph"/>
        <w:numPr>
          <w:ilvl w:val="0"/>
          <w:numId w:val="2"/>
        </w:numPr>
        <w:spacing w:after="90" w:line="320"/>
      </w:pPr>
      <w:r>
        <w:rPr>
          <w:rFonts w:ascii="Calibri" w:cs="Calibri" w:eastAsia="Calibri" w:hAnsi="Calibri"/>
          <w:color w:val="1A1A1A"/>
          <w:sz w:val="22"/>
          <w:szCs w:val="22"/>
        </w:rPr>
        <w:t xml:space="preserve">Endorse the Q1 close position and recommend Board acceptance.</w:t>
      </w:r>
    </w:p>
    <w:p>
      <w:pPr>
        <w:pStyle w:val="ListParagraph"/>
        <w:numPr>
          <w:ilvl w:val="0"/>
          <w:numId w:val="2"/>
        </w:numPr>
        <w:spacing w:after="90" w:line="320"/>
      </w:pPr>
      <w:r>
        <w:rPr>
          <w:rFonts w:ascii="Calibri" w:cs="Calibri" w:eastAsia="Calibri" w:hAnsi="Calibri"/>
          <w:color w:val="1A1A1A"/>
          <w:sz w:val="22"/>
          <w:szCs w:val="22"/>
        </w:rPr>
        <w:t xml:space="preserve">Endorse the Tier 1 capital plan recommendation to the Board.</w:t>
      </w:r>
    </w:p>
    <w:p>
      <w:pPr>
        <w:pStyle w:val="ListParagraph"/>
        <w:numPr>
          <w:ilvl w:val="0"/>
          <w:numId w:val="2"/>
        </w:numPr>
        <w:spacing w:after="90" w:line="320"/>
      </w:pPr>
      <w:r>
        <w:rPr>
          <w:rFonts w:ascii="Calibri" w:cs="Calibri" w:eastAsia="Calibri" w:hAnsi="Calibri"/>
          <w:color w:val="1A1A1A"/>
          <w:sz w:val="22"/>
          <w:szCs w:val="22"/>
        </w:rPr>
        <w:t xml:space="preserve">Endorse the digital lending risk remediation programme recommendation to the Board.</w:t>
      </w:r>
    </w:p>
    <w:p>
      <w:pPr>
        <w:pStyle w:val="ListParagraph"/>
        <w:numPr>
          <w:ilvl w:val="0"/>
          <w:numId w:val="2"/>
        </w:numPr>
        <w:spacing w:after="90" w:line="320"/>
      </w:pPr>
      <w:r>
        <w:rPr>
          <w:rFonts w:ascii="Calibri" w:cs="Calibri" w:eastAsia="Calibri" w:hAnsi="Calibri"/>
          <w:color w:val="1A1A1A"/>
          <w:sz w:val="22"/>
          <w:szCs w:val="22"/>
        </w:rPr>
        <w:t xml:space="preserve">Endorse the cyber tooling investment recommendation to the Board.</w:t>
      </w:r>
    </w:p>
    <w:p>
      <w:pPr>
        <w:pStyle w:val="ListParagraph"/>
        <w:numPr>
          <w:ilvl w:val="0"/>
          <w:numId w:val="2"/>
        </w:numPr>
        <w:spacing w:after="90" w:line="320"/>
      </w:pPr>
      <w:r>
        <w:rPr>
          <w:rFonts w:ascii="Calibri" w:cs="Calibri" w:eastAsia="Calibri" w:hAnsi="Calibri"/>
          <w:color w:val="1A1A1A"/>
          <w:sz w:val="22"/>
          <w:szCs w:val="22"/>
        </w:rPr>
        <w:t xml:space="preserve">Endorse the AML transaction monitoring CBK self-report closure.</w:t>
      </w:r>
    </w:p>
    <w:p>
      <w:pPr>
        <w:pStyle w:val="ListParagraph"/>
        <w:numPr>
          <w:ilvl w:val="0"/>
          <w:numId w:val="2"/>
        </w:numPr>
        <w:spacing w:after="90" w:line="320"/>
      </w:pPr>
      <w:r>
        <w:rPr>
          <w:rFonts w:ascii="Calibri" w:cs="Calibri" w:eastAsia="Calibri" w:hAnsi="Calibri"/>
          <w:color w:val="1A1A1A"/>
          <w:sz w:val="22"/>
          <w:szCs w:val="22"/>
        </w:rPr>
        <w:t xml:space="preserve">Receive the PwC interim review and the Findings Remediation Tracker first report.</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9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Audit Committee — 8 May 2026</w:t>
      </w:r>
    </w:p>
    <w:p>
      <w:pPr>
        <w:spacing w:after="240"/>
      </w:pPr>
      <w:r>
        <w:rPr>
          <w:rFonts w:ascii="Georgia" w:cs="Georgia" w:eastAsia="Georgia" w:hAnsi="Georgia"/>
          <w:i/>
          <w:iCs/>
          <w:color w:val="2B2B2A"/>
          <w:sz w:val="26"/>
          <w:szCs w:val="26"/>
        </w:rPr>
        <w:t xml:space="preserve">Confidential — Pre-Board preparation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Friday, 8 May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09:30 — 13:30</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Ubora Bank Head Office</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w:t>
      </w:r>
    </w:p>
    <w:p>
      <w:pPr>
        <w:spacing w:after="140" w:before="0" w:line="320"/>
        <w:jc w:val="left"/>
      </w:pPr>
      <w:r>
        <w:rPr>
          <w:rFonts w:ascii="Calibri" w:cs="Calibri" w:eastAsia="Calibri" w:hAnsi="Calibri"/>
          <w:b w:val="false"/>
          <w:bCs w:val="false"/>
          <w:i w:val="false"/>
          <w:iCs w:val="false"/>
          <w:color w:val="1A1A1A"/>
          <w:sz w:val="22"/>
          <w:szCs w:val="22"/>
        </w:rPr>
        <w:t xml:space="preserve">Present: Bram Mwalo (Chair), Wanjiku Karanja, David Otieno, Susan Mwende. Management: James Kiprop (CEO), Margaret Wambui (CFO), Daniel Mutua (CRO), Mary Achieng (Head of Internal Audit). PwC partner Patrick Kinyua attended for the PwC review item. Catherine Onyango (Company Secretary).</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None declared beyond the standing register.</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Minutes of 8 March 2026 confirmed.</w:t>
      </w:r>
    </w:p>
    <w:p>
      <w:pPr>
        <w:pStyle w:val="Heading2"/>
        <w:spacing w:after="160" w:before="300"/>
      </w:pPr>
      <w:r>
        <w:rPr>
          <w:rFonts w:ascii="Georgia" w:cs="Georgia" w:eastAsia="Georgia" w:hAnsi="Georgia"/>
          <w:b/>
          <w:bCs/>
          <w:color w:val="1A1A1A"/>
          <w:sz w:val="25"/>
          <w:szCs w:val="25"/>
        </w:rPr>
        <w:t xml:space="preserve">4. Q1 close — Committee summary view</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Q1 close. Coverage at 50.2%, profit before tax KES 135 million (53% below plan), CAR 14.18%.</w:t>
      </w:r>
    </w:p>
    <w:p>
      <w:pPr>
        <w:spacing w:after="140" w:before="0" w:line="320"/>
        <w:jc w:val="left"/>
      </w:pPr>
      <w:r>
        <w:rPr>
          <w:rFonts w:ascii="Calibri" w:cs="Calibri" w:eastAsia="Calibri" w:hAnsi="Calibri"/>
          <w:b w:val="false"/>
          <w:bCs w:val="false"/>
          <w:i w:val="false"/>
          <w:iCs w:val="false"/>
          <w:color w:val="1A1A1A"/>
          <w:sz w:val="22"/>
          <w:szCs w:val="22"/>
        </w:rPr>
        <w:t xml:space="preserve">The Chair (Bram Mwalo) opened by acknowledging that Q1 had been the most demanding quarterly close in five years, and that management's execution of the remediation trajectory through three additional provisioning tranches had been substantive. He noted that the close at 50.2% — meeting the regulatory minimum but with marginal headroom — meant Q2 would still operate under elevated supervisory scrutiny.</w:t>
      </w:r>
    </w:p>
    <w:p>
      <w:pPr>
        <w:pStyle w:val="Heading2"/>
        <w:spacing w:after="160" w:before="300"/>
      </w:pPr>
      <w:r>
        <w:rPr>
          <w:rFonts w:ascii="Georgia" w:cs="Georgia" w:eastAsia="Georgia" w:hAnsi="Georgia"/>
          <w:b/>
          <w:bCs/>
          <w:color w:val="1A1A1A"/>
          <w:sz w:val="25"/>
          <w:szCs w:val="25"/>
        </w:rPr>
        <w:t xml:space="preserve">5. PwC interim provisioning adequacy review</w:t>
      </w:r>
    </w:p>
    <w:p>
      <w:pPr>
        <w:spacing w:after="140" w:before="0" w:line="320"/>
        <w:jc w:val="left"/>
      </w:pPr>
      <w:r>
        <w:rPr>
          <w:rFonts w:ascii="Calibri" w:cs="Calibri" w:eastAsia="Calibri" w:hAnsi="Calibri"/>
          <w:b w:val="false"/>
          <w:bCs w:val="false"/>
          <w:i w:val="false"/>
          <w:iCs w:val="false"/>
          <w:color w:val="1A1A1A"/>
          <w:sz w:val="22"/>
          <w:szCs w:val="22"/>
        </w:rPr>
        <w:t xml:space="preserve">Patrick Kinyua (PwC) presented the interim review findings. Three matters for management attention: digital lending model refresh (endorsed Q2 implementation); corporate book model refresh recommended for H2 2026; model validation process review recommended.</w:t>
      </w:r>
    </w:p>
    <w:p>
      <w:pPr>
        <w:spacing w:after="140" w:before="0" w:line="320"/>
        <w:jc w:val="left"/>
      </w:pPr>
      <w:r>
        <w:rPr>
          <w:rFonts w:ascii="Calibri" w:cs="Calibri" w:eastAsia="Calibri" w:hAnsi="Calibri"/>
          <w:b w:val="false"/>
          <w:bCs w:val="false"/>
          <w:i w:val="false"/>
          <w:iCs w:val="false"/>
          <w:color w:val="1A1A1A"/>
          <w:sz w:val="22"/>
          <w:szCs w:val="22"/>
        </w:rPr>
        <w:t xml:space="preserve">The Chair asked Patrick Kinyua specifically whether PwC had any concerns about the Q1 close coverage calculation. Patrick Kinyua confirmed PwC had no concerns about the calculation methodology or its application; the matters raised were forward-looking observations rather than findings.</w:t>
      </w:r>
    </w:p>
    <w:p>
      <w:pPr>
        <w:spacing w:after="140" w:before="0" w:line="320"/>
        <w:jc w:val="left"/>
      </w:pPr>
      <w:r>
        <w:rPr>
          <w:rFonts w:ascii="Calibri" w:cs="Calibri" w:eastAsia="Calibri" w:hAnsi="Calibri"/>
          <w:b w:val="false"/>
          <w:bCs w:val="false"/>
          <w:i w:val="false"/>
          <w:iCs w:val="false"/>
          <w:color w:val="1A1A1A"/>
          <w:sz w:val="22"/>
          <w:szCs w:val="22"/>
        </w:rPr>
        <w:t xml:space="preserve">Wanjiku Karanja asked about the timeline for the corporate book model refresh. The CFO indicated H2 2026 was achievable with Deloitte continuing as advisor. The Committee confirmed the refresh be added to the H2 plan.</w:t>
      </w:r>
    </w:p>
    <w:p>
      <w:pPr>
        <w:pStyle w:val="Heading2"/>
        <w:spacing w:after="160" w:before="300"/>
      </w:pPr>
      <w:r>
        <w:rPr>
          <w:rFonts w:ascii="Georgia" w:cs="Georgia" w:eastAsia="Georgia" w:hAnsi="Georgia"/>
          <w:b/>
          <w:bCs/>
          <w:color w:val="1A1A1A"/>
          <w:sz w:val="25"/>
          <w:szCs w:val="25"/>
        </w:rPr>
        <w:t xml:space="preserve">6. AML transaction monitoring CBK self-report closure</w:t>
      </w:r>
    </w:p>
    <w:p>
      <w:pPr>
        <w:spacing w:after="140" w:before="0" w:line="320"/>
        <w:jc w:val="left"/>
      </w:pPr>
      <w:r>
        <w:rPr>
          <w:rFonts w:ascii="Calibri" w:cs="Calibri" w:eastAsia="Calibri" w:hAnsi="Calibri"/>
          <w:b w:val="false"/>
          <w:bCs w:val="false"/>
          <w:i w:val="false"/>
          <w:iCs w:val="false"/>
          <w:color w:val="1A1A1A"/>
          <w:sz w:val="22"/>
          <w:szCs w:val="22"/>
        </w:rPr>
        <w:t xml:space="preserve">The Head of Internal Audit confirmed the post-implementation review findings supported closure. The Committee endorsed the closure filing on 28 April 2026.</w:t>
      </w:r>
    </w:p>
    <w:p>
      <w:pPr>
        <w:pStyle w:val="Heading2"/>
        <w:spacing w:after="160" w:before="300"/>
      </w:pPr>
      <w:r>
        <w:rPr>
          <w:rFonts w:ascii="Georgia" w:cs="Georgia" w:eastAsia="Georgia" w:hAnsi="Georgia"/>
          <w:b/>
          <w:bCs/>
          <w:color w:val="1A1A1A"/>
          <w:sz w:val="25"/>
          <w:szCs w:val="25"/>
        </w:rPr>
        <w:t xml:space="preserve">7. Three Board recommendations — full deliberation</w:t>
      </w:r>
    </w:p>
    <w:p>
      <w:pPr>
        <w:pStyle w:val="Heading3"/>
        <w:spacing w:after="120" w:before="220"/>
      </w:pPr>
      <w:r>
        <w:rPr>
          <w:rFonts w:ascii="Calibri" w:cs="Calibri" w:eastAsia="Calibri" w:hAnsi="Calibri"/>
          <w:b/>
          <w:bCs/>
          <w:color w:val="1A1A1A"/>
          <w:sz w:val="22"/>
          <w:szCs w:val="22"/>
        </w:rPr>
        <w:t xml:space="preserve">7a. Tier 1 capital plan</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plan. Subordinated note structure, KES 1.2 billion, five-year, callable after year three, indicative pricing 14.75%, issuance window Q3 2026.</w:t>
      </w:r>
    </w:p>
    <w:p>
      <w:pPr>
        <w:spacing w:after="140" w:before="0" w:line="320"/>
        <w:jc w:val="left"/>
      </w:pPr>
      <w:r>
        <w:rPr>
          <w:rFonts w:ascii="Calibri" w:cs="Calibri" w:eastAsia="Calibri" w:hAnsi="Calibri"/>
          <w:b w:val="false"/>
          <w:bCs w:val="false"/>
          <w:i w:val="false"/>
          <w:iCs w:val="false"/>
          <w:color w:val="1A1A1A"/>
          <w:sz w:val="22"/>
          <w:szCs w:val="22"/>
        </w:rPr>
        <w:t xml:space="preserve">The Chair invited David Otieno to comment given his banking treasury background. David Otieno indicated the structure was appropriate and the pricing was consistent with current market for mid-tier African bank Tier 1 issuance. He asked whether management had considered phased issuance to reduce single-window market risk.</w:t>
      </w:r>
    </w:p>
    <w:p>
      <w:pPr>
        <w:spacing w:after="140" w:before="0" w:line="320"/>
        <w:jc w:val="left"/>
      </w:pPr>
      <w:r>
        <w:rPr>
          <w:rFonts w:ascii="Calibri" w:cs="Calibri" w:eastAsia="Calibri" w:hAnsi="Calibri"/>
          <w:b w:val="false"/>
          <w:bCs w:val="false"/>
          <w:i w:val="false"/>
          <w:iCs w:val="false"/>
          <w:color w:val="1A1A1A"/>
          <w:sz w:val="22"/>
          <w:szCs w:val="22"/>
        </w:rPr>
        <w:t xml:space="preserve">The CFO confirmed phased issuance had been considered but the operational complexity of multiple issuances within a six-month window outweighed the benefit; single issuance with appropriate market window flexibility was the recommendation.</w:t>
      </w:r>
    </w:p>
    <w:p>
      <w:pPr>
        <w:spacing w:after="140" w:before="0" w:line="320"/>
        <w:jc w:val="left"/>
      </w:pPr>
      <w:r>
        <w:rPr>
          <w:rFonts w:ascii="Calibri" w:cs="Calibri" w:eastAsia="Calibri" w:hAnsi="Calibri"/>
          <w:b w:val="false"/>
          <w:bCs w:val="false"/>
          <w:i w:val="false"/>
          <w:iCs w:val="false"/>
          <w:color w:val="1A1A1A"/>
          <w:sz w:val="22"/>
          <w:szCs w:val="22"/>
        </w:rPr>
        <w:t xml:space="preserve">Susan Mwende asked about shareholder consultation. The CEO indicated initial discussions with the three largest shareholders had been encouraging; formal consultation would commence in June ahead of the Board's expected approval.</w:t>
      </w:r>
    </w:p>
    <w:p>
      <w:pPr>
        <w:spacing w:after="140" w:before="0" w:line="320"/>
        <w:jc w:val="left"/>
      </w:pPr>
      <w:r>
        <w:rPr>
          <w:rFonts w:ascii="Calibri" w:cs="Calibri" w:eastAsia="Calibri" w:hAnsi="Calibri"/>
          <w:b w:val="false"/>
          <w:bCs w:val="false"/>
          <w:i w:val="false"/>
          <w:iCs w:val="false"/>
          <w:color w:val="1A1A1A"/>
          <w:sz w:val="22"/>
          <w:szCs w:val="22"/>
        </w:rPr>
        <w:t xml:space="preserve">Resolution: the Committee endorses the Tier 1 capital plan recommendation to the Board with the comment that shareholder consultation be substantive and complete before formal issuance approval.</w:t>
      </w:r>
    </w:p>
    <w:p>
      <w:pPr>
        <w:pStyle w:val="Heading3"/>
        <w:spacing w:after="120" w:before="220"/>
      </w:pPr>
      <w:r>
        <w:rPr>
          <w:rFonts w:ascii="Calibri" w:cs="Calibri" w:eastAsia="Calibri" w:hAnsi="Calibri"/>
          <w:b/>
          <w:bCs/>
          <w:color w:val="1A1A1A"/>
          <w:sz w:val="22"/>
          <w:szCs w:val="22"/>
        </w:rPr>
        <w:t xml:space="preserve">7b. Digital lending risk remediation programme</w:t>
      </w:r>
    </w:p>
    <w:p>
      <w:pPr>
        <w:spacing w:after="140" w:before="0" w:line="320"/>
        <w:jc w:val="left"/>
      </w:pPr>
      <w:r>
        <w:rPr>
          <w:rFonts w:ascii="Calibri" w:cs="Calibri" w:eastAsia="Calibri" w:hAnsi="Calibri"/>
          <w:b w:val="false"/>
          <w:bCs w:val="false"/>
          <w:i w:val="false"/>
          <w:iCs w:val="false"/>
          <w:color w:val="1A1A1A"/>
          <w:sz w:val="22"/>
          <w:szCs w:val="22"/>
        </w:rPr>
        <w:t xml:space="preserve">The CRO presented the programme. Pause on new digital lending product launches Q2-Q3, refresh of origination scoring, rebuild of digital collections infrastructure, fraud detection upgrade. Capital allocation KES 280 million across Q2-Q3.</w:t>
      </w:r>
    </w:p>
    <w:p>
      <w:pPr>
        <w:spacing w:after="140" w:before="0" w:line="320"/>
        <w:jc w:val="left"/>
      </w:pPr>
      <w:r>
        <w:rPr>
          <w:rFonts w:ascii="Calibri" w:cs="Calibri" w:eastAsia="Calibri" w:hAnsi="Calibri"/>
          <w:b w:val="false"/>
          <w:bCs w:val="false"/>
          <w:i w:val="false"/>
          <w:iCs w:val="false"/>
          <w:color w:val="1A1A1A"/>
          <w:sz w:val="22"/>
          <w:szCs w:val="22"/>
        </w:rPr>
        <w:t xml:space="preserve">The Chair noted the pause on new product launches was the structurally most important element. He asked whether the pause would create competitive risk in the digital lending market. The CRO indicated the pause was specifically on new product launches; existing products would continue to be offered with tightened origination criteria. Competitive risk was acknowledged but the alternative — continued growth without infrastructure refresh — was unacceptable.</w:t>
      </w:r>
    </w:p>
    <w:p>
      <w:pPr>
        <w:spacing w:after="140" w:before="0" w:line="320"/>
        <w:jc w:val="left"/>
      </w:pPr>
      <w:r>
        <w:rPr>
          <w:rFonts w:ascii="Calibri" w:cs="Calibri" w:eastAsia="Calibri" w:hAnsi="Calibri"/>
          <w:b w:val="false"/>
          <w:bCs w:val="false"/>
          <w:i w:val="false"/>
          <w:iCs w:val="false"/>
          <w:color w:val="1A1A1A"/>
          <w:sz w:val="22"/>
          <w:szCs w:val="22"/>
        </w:rPr>
        <w:t xml:space="preserve">Wanjiku Karanja asked whether the programme had been benchmarked against peer practices. The CRO confirmed Deloitte's engagement included peer benchmarking; the programme was at or above peer median for digital lending risk infrastructure.</w:t>
      </w:r>
    </w:p>
    <w:p>
      <w:pPr>
        <w:spacing w:after="140" w:before="0" w:line="320"/>
        <w:jc w:val="left"/>
      </w:pPr>
      <w:r>
        <w:rPr>
          <w:rFonts w:ascii="Calibri" w:cs="Calibri" w:eastAsia="Calibri" w:hAnsi="Calibri"/>
          <w:b w:val="false"/>
          <w:bCs w:val="false"/>
          <w:i w:val="false"/>
          <w:iCs w:val="false"/>
          <w:color w:val="1A1A1A"/>
          <w:sz w:val="22"/>
          <w:szCs w:val="22"/>
        </w:rPr>
        <w:t xml:space="preserve">Resolution: the Committee endorses the digital lending risk remediation programme recommendation to the Board.</w:t>
      </w:r>
    </w:p>
    <w:p>
      <w:pPr>
        <w:pStyle w:val="Heading3"/>
        <w:spacing w:after="120" w:before="220"/>
      </w:pPr>
      <w:r>
        <w:rPr>
          <w:rFonts w:ascii="Calibri" w:cs="Calibri" w:eastAsia="Calibri" w:hAnsi="Calibri"/>
          <w:b/>
          <w:bCs/>
          <w:color w:val="1A1A1A"/>
          <w:sz w:val="22"/>
          <w:szCs w:val="22"/>
        </w:rPr>
        <w:t xml:space="preserve">7c. Cyber tooling investment</w:t>
      </w:r>
    </w:p>
    <w:p>
      <w:pPr>
        <w:spacing w:after="140" w:before="0" w:line="320"/>
        <w:jc w:val="left"/>
      </w:pPr>
      <w:r>
        <w:rPr>
          <w:rFonts w:ascii="Calibri" w:cs="Calibri" w:eastAsia="Calibri" w:hAnsi="Calibri"/>
          <w:b w:val="false"/>
          <w:bCs w:val="false"/>
          <w:i w:val="false"/>
          <w:iCs w:val="false"/>
          <w:color w:val="1A1A1A"/>
          <w:sz w:val="22"/>
          <w:szCs w:val="22"/>
        </w:rPr>
        <w:t xml:space="preserve">The CRO presented the Mandiant-derived recommendations. KES 95 million across Q2-Q3 covering MDR, patching automation, IAM platform refresh; three additional FTEs in security operations.</w:t>
      </w:r>
    </w:p>
    <w:p>
      <w:pPr>
        <w:spacing w:after="140" w:before="0" w:line="320"/>
        <w:jc w:val="left"/>
      </w:pPr>
      <w:r>
        <w:rPr>
          <w:rFonts w:ascii="Calibri" w:cs="Calibri" w:eastAsia="Calibri" w:hAnsi="Calibri"/>
          <w:b w:val="false"/>
          <w:bCs w:val="false"/>
          <w:i w:val="false"/>
          <w:iCs w:val="false"/>
          <w:color w:val="1A1A1A"/>
          <w:sz w:val="22"/>
          <w:szCs w:val="22"/>
        </w:rPr>
        <w:t xml:space="preserve">The Chair invited David Otieno to lead questioning given his sponsorship of the original Mandiant engagement. David Otieno asked whether the three additional FTEs would be sourced internally or externally. The CRO indicated a mix: one internal promotion, two external hires. Susan Mwende asked about the elevation of cyber to a standing Board agenda item; the Chair confirmed this was the Committee's recommendation and would be carried to the Board.</w:t>
      </w:r>
    </w:p>
    <w:p>
      <w:pPr>
        <w:spacing w:after="140" w:before="0" w:line="320"/>
        <w:jc w:val="left"/>
      </w:pPr>
      <w:r>
        <w:rPr>
          <w:rFonts w:ascii="Calibri" w:cs="Calibri" w:eastAsia="Calibri" w:hAnsi="Calibri"/>
          <w:b w:val="false"/>
          <w:bCs w:val="false"/>
          <w:i w:val="false"/>
          <w:iCs w:val="false"/>
          <w:color w:val="1A1A1A"/>
          <w:sz w:val="22"/>
          <w:szCs w:val="22"/>
        </w:rPr>
        <w:t xml:space="preserve">Resolution: the Committee endorses the cyber tooling investment recommendation to the Board, with the additional recommendation that cyber be elevated to a standing Board agenda item.</w:t>
      </w:r>
    </w:p>
    <w:p>
      <w:pPr>
        <w:pStyle w:val="Heading2"/>
        <w:spacing w:after="160" w:before="300"/>
      </w:pPr>
      <w:r>
        <w:rPr>
          <w:rFonts w:ascii="Georgia" w:cs="Georgia" w:eastAsia="Georgia" w:hAnsi="Georgia"/>
          <w:b/>
          <w:bCs/>
          <w:color w:val="1A1A1A"/>
          <w:sz w:val="25"/>
          <w:szCs w:val="25"/>
        </w:rPr>
        <w:t xml:space="preserve">8. Findings Remediation Tracker — first report</w:t>
      </w:r>
    </w:p>
    <w:p>
      <w:pPr>
        <w:spacing w:after="140" w:before="0" w:line="320"/>
        <w:jc w:val="left"/>
      </w:pPr>
      <w:r>
        <w:rPr>
          <w:rFonts w:ascii="Calibri" w:cs="Calibri" w:eastAsia="Calibri" w:hAnsi="Calibri"/>
          <w:b w:val="false"/>
          <w:bCs w:val="false"/>
          <w:i w:val="false"/>
          <w:iCs w:val="false"/>
          <w:color w:val="1A1A1A"/>
          <w:sz w:val="22"/>
          <w:szCs w:val="22"/>
        </w:rPr>
        <w:t xml:space="preserve">Mary Achieng presented the first tracker report. The report consolidates the 38 open findings into a structured view by risk severity, age, and ownership. The three findings outstanding over twelve months at Q1 start are now closed or in committed closure (Branch Operations, 30 April).</w:t>
      </w:r>
    </w:p>
    <w:p>
      <w:pPr>
        <w:spacing w:after="140" w:before="0" w:line="320"/>
        <w:jc w:val="left"/>
      </w:pPr>
      <w:r>
        <w:rPr>
          <w:rFonts w:ascii="Calibri" w:cs="Calibri" w:eastAsia="Calibri" w:hAnsi="Calibri"/>
          <w:b w:val="false"/>
          <w:bCs w:val="false"/>
          <w:i w:val="false"/>
          <w:iCs w:val="false"/>
          <w:color w:val="1A1A1A"/>
          <w:sz w:val="22"/>
          <w:szCs w:val="22"/>
        </w:rPr>
        <w:t xml:space="preserve">The Chair confirmed the tracker would be presented at every Audit Committee meeting going forward and quarterly to the Board.</w:t>
      </w:r>
    </w:p>
    <w:p>
      <w:pPr>
        <w:pStyle w:val="Heading2"/>
        <w:spacing w:after="160" w:before="300"/>
      </w:pPr>
      <w:r>
        <w:rPr>
          <w:rFonts w:ascii="Georgia" w:cs="Georgia" w:eastAsia="Georgia" w:hAnsi="Georgia"/>
          <w:b/>
          <w:bCs/>
          <w:color w:val="1A1A1A"/>
          <w:sz w:val="25"/>
          <w:szCs w:val="25"/>
        </w:rPr>
        <w:t xml:space="preserve">9. Internal Audit Head succession</w:t>
      </w:r>
    </w:p>
    <w:p>
      <w:pPr>
        <w:spacing w:after="140" w:before="0" w:line="320"/>
        <w:jc w:val="left"/>
      </w:pPr>
      <w:r>
        <w:rPr>
          <w:rFonts w:ascii="Calibri" w:cs="Calibri" w:eastAsia="Calibri" w:hAnsi="Calibri"/>
          <w:b w:val="false"/>
          <w:bCs w:val="false"/>
          <w:i w:val="false"/>
          <w:iCs w:val="false"/>
          <w:color w:val="1A1A1A"/>
          <w:sz w:val="22"/>
          <w:szCs w:val="22"/>
        </w:rPr>
        <w:t xml:space="preserve">The succession sub-committee (Bram Mwalo, James Kiprop, HR Director) reported preliminary alignment on a preferred candidate following April interviews. Final recommendation at the June Committee meeting; Board approval at the June Board meeting.</w:t>
      </w:r>
    </w:p>
    <w:p>
      <w:pPr>
        <w:pStyle w:val="Heading2"/>
        <w:spacing w:after="160" w:before="300"/>
      </w:pPr>
      <w:r>
        <w:rPr>
          <w:rFonts w:ascii="Georgia" w:cs="Georgia" w:eastAsia="Georgia" w:hAnsi="Georgia"/>
          <w:b/>
          <w:bCs/>
          <w:color w:val="1A1A1A"/>
          <w:sz w:val="25"/>
          <w:szCs w:val="25"/>
        </w:rPr>
        <w:t xml:space="preserve">10. Other matters</w:t>
      </w:r>
    </w:p>
    <w:p>
      <w:pPr>
        <w:spacing w:after="140" w:before="0" w:line="320"/>
        <w:jc w:val="left"/>
      </w:pPr>
      <w:r>
        <w:rPr>
          <w:rFonts w:ascii="Calibri" w:cs="Calibri" w:eastAsia="Calibri" w:hAnsi="Calibri"/>
          <w:b w:val="false"/>
          <w:bCs w:val="false"/>
          <w:i w:val="false"/>
          <w:iCs w:val="false"/>
          <w:color w:val="1A1A1A"/>
          <w:sz w:val="22"/>
          <w:szCs w:val="22"/>
        </w:rPr>
        <w:t xml:space="preserve">The CRO updated the Committee on the Tanzania transport infrastructure incident (mentioned in March minutes). The single transport company exposure of KES 18 million is now classified as Stage 2; restructuring negotiations underway. Not material individually but the Committee noted the matter.</w:t>
      </w:r>
    </w:p>
    <w:p>
      <w:pPr>
        <w:pStyle w:val="Heading2"/>
        <w:spacing w:after="160" w:before="300"/>
      </w:pPr>
      <w:r>
        <w:rPr>
          <w:rFonts w:ascii="Georgia" w:cs="Georgia" w:eastAsia="Georgia" w:hAnsi="Georgia"/>
          <w:b/>
          <w:bCs/>
          <w:color w:val="1A1A1A"/>
          <w:sz w:val="25"/>
          <w:szCs w:val="25"/>
        </w:rPr>
        <w:t xml:space="preserve">11.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The next Audit Committee meeting will be held on Saturday 14 June 2026 at 09:30.</w:t>
      </w:r>
    </w:p>
    <w:p>
      <w:pPr>
        <w:pStyle w:val="Heading2"/>
        <w:spacing w:after="160" w:before="300"/>
      </w:pPr>
      <w:r>
        <w:rPr>
          <w:rFonts w:ascii="Georgia" w:cs="Georgia" w:eastAsia="Georgia" w:hAnsi="Georgia"/>
          <w:b/>
          <w:bCs/>
          <w:color w:val="1A1A1A"/>
          <w:sz w:val="25"/>
          <w:szCs w:val="25"/>
        </w:rPr>
        <w:t xml:space="preserve">12. Closing</w:t>
      </w:r>
    </w:p>
    <w:p>
      <w:pPr>
        <w:spacing w:after="140" w:before="0" w:line="320"/>
        <w:jc w:val="left"/>
      </w:pPr>
      <w:r>
        <w:rPr>
          <w:rFonts w:ascii="Calibri" w:cs="Calibri" w:eastAsia="Calibri" w:hAnsi="Calibri"/>
          <w:b w:val="false"/>
          <w:bCs w:val="false"/>
          <w:i w:val="false"/>
          <w:iCs w:val="false"/>
          <w:color w:val="1A1A1A"/>
          <w:sz w:val="22"/>
          <w:szCs w:val="22"/>
        </w:rPr>
        <w:t xml:space="preserve">Meeting closed at 13:30. The Chair noted his appreciation of the Committee's work through Q1 and his expectation that the May Board meeting would be substantive.</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Bram Mwalo, Chair                                       Date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10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Risk Committee Paper — Q1 2026</w:t>
      </w:r>
    </w:p>
    <w:p>
      <w:pPr>
        <w:spacing w:after="240"/>
      </w:pPr>
      <w:r>
        <w:rPr>
          <w:rFonts w:ascii="Georgia" w:cs="Georgia" w:eastAsia="Georgia" w:hAnsi="Georgia"/>
          <w:i/>
          <w:iCs/>
          <w:color w:val="2B2B2A"/>
          <w:sz w:val="26"/>
          <w:szCs w:val="26"/>
        </w:rPr>
        <w:t xml:space="preserve">For the Risk Committee meeting of 9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Meeting 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 May 2026, 10:00 — 13:00</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George Wachira (Independent Director, Risk Committee Chair)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Members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Esther Mutuku, Joseph Kimani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Note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serves as Risk Committee member; Audit Committee Chair role separate</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Purpose</w:t>
      </w:r>
    </w:p>
    <w:p>
      <w:pPr>
        <w:spacing w:after="140" w:before="0" w:line="320"/>
        <w:jc w:val="left"/>
      </w:pPr>
      <w:r>
        <w:rPr>
          <w:rFonts w:ascii="Calibri" w:cs="Calibri" w:eastAsia="Calibri" w:hAnsi="Calibri"/>
          <w:b w:val="false"/>
          <w:bCs w:val="false"/>
          <w:i w:val="false"/>
          <w:iCs w:val="false"/>
          <w:color w:val="1A1A1A"/>
          <w:sz w:val="22"/>
          <w:szCs w:val="22"/>
        </w:rPr>
        <w:t xml:space="preserve">Quarterly review of risk position covering credit, capital, liquidity, market, operational, and cyber risk. The paper consolidates risk indicators across Q1 2026 and identifies matters for Risk Committee deliberation and recommendations to the Board.</w:t>
      </w:r>
    </w:p>
    <w:p>
      <w:pPr>
        <w:pStyle w:val="Heading2"/>
        <w:spacing w:after="160" w:before="300"/>
      </w:pPr>
      <w:r>
        <w:rPr>
          <w:rFonts w:ascii="Georgia" w:cs="Georgia" w:eastAsia="Georgia" w:hAnsi="Georgia"/>
          <w:b/>
          <w:bCs/>
          <w:color w:val="1A1A1A"/>
          <w:sz w:val="25"/>
          <w:szCs w:val="25"/>
        </w:rPr>
        <w:t xml:space="preserve">1. Credit risk</w:t>
      </w:r>
    </w:p>
    <w:p>
      <w:pPr>
        <w:spacing w:after="140" w:before="0" w:line="320"/>
        <w:jc w:val="left"/>
      </w:pPr>
      <w:r>
        <w:rPr>
          <w:rFonts w:ascii="Calibri" w:cs="Calibri" w:eastAsia="Calibri" w:hAnsi="Calibri"/>
          <w:b w:val="false"/>
          <w:bCs w:val="false"/>
          <w:i w:val="false"/>
          <w:iCs w:val="false"/>
          <w:color w:val="1A1A1A"/>
          <w:sz w:val="22"/>
          <w:szCs w:val="22"/>
        </w:rPr>
        <w:t xml:space="preserve">Q1 NPL formation of KES 630 million (gross) reflected the most stressed quarter for credit since 2018. Watch-list balances grew to KES 3.7 billion at quarter close. Real estate sector concentration unchanged at 31% (above CBK guideline of 25%); top 5 corporate concentration at 28%.</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Audit Committee has led the provisioning response and the Q1 close demonstrates effective execution. The Risk Committee's perspective focuses on the forward trajectory: whether the watch-list deceleration in February-March is sustained will determine whether NPL formation peaked in Q1 or extends through H1. Risk Committee recommends quarterly stress testing of the loan book be expanded to include the most stressed downside scenario rather than the central scenario.</w:t>
      </w:r>
    </w:p>
    <w:p>
      <w:pPr>
        <w:pStyle w:val="Heading2"/>
        <w:spacing w:after="160" w:before="300"/>
      </w:pPr>
      <w:r>
        <w:rPr>
          <w:rFonts w:ascii="Georgia" w:cs="Georgia" w:eastAsia="Georgia" w:hAnsi="Georgia"/>
          <w:b/>
          <w:bCs/>
          <w:color w:val="1A1A1A"/>
          <w:sz w:val="25"/>
          <w:szCs w:val="25"/>
        </w:rPr>
        <w:t xml:space="preserve">2. Capital risk</w:t>
      </w:r>
    </w:p>
    <w:p>
      <w:pPr>
        <w:spacing w:after="140" w:before="0" w:line="320"/>
        <w:jc w:val="left"/>
      </w:pPr>
      <w:r>
        <w:rPr>
          <w:rFonts w:ascii="Calibri" w:cs="Calibri" w:eastAsia="Calibri" w:hAnsi="Calibri"/>
          <w:b w:val="false"/>
          <w:bCs w:val="false"/>
          <w:i w:val="false"/>
          <w:iCs w:val="false"/>
          <w:color w:val="1A1A1A"/>
          <w:sz w:val="22"/>
          <w:szCs w:val="22"/>
        </w:rPr>
        <w:t xml:space="preserve">CAR at Q1 close 14.18%; Tier 1 11.75%. Headroom of 18 basis points — the tightest in five years. Tier 1 capital plan in advanced preparation.</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capital plan is appropriate. Risk Committee notes that the headroom of 18 basis points provides limited absorption capacity for any further unexpected stress. Recommendation: management establish a capital trigger framework — a set of pre-defined actions that activate if CAR drops below specific thresholds (14.10%, 14.05%, 14.00% breach). The framework would not constrain management but would provide pre-deliberated response in stressed scenarios.</w:t>
      </w:r>
    </w:p>
    <w:p>
      <w:pPr>
        <w:pStyle w:val="Heading2"/>
        <w:spacing w:after="160" w:before="300"/>
      </w:pPr>
      <w:r>
        <w:rPr>
          <w:rFonts w:ascii="Georgia" w:cs="Georgia" w:eastAsia="Georgia" w:hAnsi="Georgia"/>
          <w:b/>
          <w:bCs/>
          <w:color w:val="1A1A1A"/>
          <w:sz w:val="25"/>
          <w:szCs w:val="25"/>
        </w:rPr>
        <w:t xml:space="preserve">3. Liquidity risk</w:t>
      </w:r>
    </w:p>
    <w:p>
      <w:pPr>
        <w:spacing w:after="140" w:before="0" w:line="320"/>
        <w:jc w:val="left"/>
      </w:pPr>
      <w:r>
        <w:rPr>
          <w:rFonts w:ascii="Calibri" w:cs="Calibri" w:eastAsia="Calibri" w:hAnsi="Calibri"/>
          <w:b w:val="false"/>
          <w:bCs w:val="false"/>
          <w:i w:val="false"/>
          <w:iCs w:val="false"/>
          <w:color w:val="1A1A1A"/>
          <w:sz w:val="22"/>
          <w:szCs w:val="22"/>
        </w:rPr>
        <w:t xml:space="preserve">LCR at Q1 close 110%; NSFR 105%. Wholesale funding share 13.2% (up from 8.8% one year ago). Deposit growth slowed in Q1.</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Liquidity buffers remain within regulatory tolerance but the trend is unfavourable. Risk Committee recommends quarterly review of the deposit base composition and a specific focus on the wholesale-to-retail funding ratio. The deposit growth slowdown should be understood — is it a competitive issue, a depositor concentration issue, or a market-wide tightening? Each implies different management responses.</w:t>
      </w:r>
    </w:p>
    <w:p>
      <w:pPr>
        <w:pStyle w:val="Heading2"/>
        <w:spacing w:after="160" w:before="300"/>
      </w:pPr>
      <w:r>
        <w:rPr>
          <w:rFonts w:ascii="Georgia" w:cs="Georgia" w:eastAsia="Georgia" w:hAnsi="Georgia"/>
          <w:b/>
          <w:bCs/>
          <w:color w:val="1A1A1A"/>
          <w:sz w:val="25"/>
          <w:szCs w:val="25"/>
        </w:rPr>
        <w:t xml:space="preserve">4. Market risk</w:t>
      </w:r>
    </w:p>
    <w:p>
      <w:pPr>
        <w:spacing w:after="140" w:before="0" w:line="320"/>
        <w:jc w:val="left"/>
      </w:pPr>
      <w:r>
        <w:rPr>
          <w:rFonts w:ascii="Calibri" w:cs="Calibri" w:eastAsia="Calibri" w:hAnsi="Calibri"/>
          <w:b w:val="false"/>
          <w:bCs w:val="false"/>
          <w:i w:val="false"/>
          <w:iCs w:val="false"/>
          <w:color w:val="1A1A1A"/>
          <w:sz w:val="22"/>
          <w:szCs w:val="22"/>
        </w:rPr>
        <w:t xml:space="preserve">Trading book remains modest. FX exposure within established limits. Interest rate risk in the banking book elevated due to NIM compression — the asset-liability repricing mismatch identified in 2025 has not closed.</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Interest rate risk in the banking book is the largest market risk exposure. Recommend management present an updated asset-liability gap analysis at the next Risk Committee meeting, including specific recommendations for closing the repricing mismatch.</w:t>
      </w:r>
    </w:p>
    <w:p>
      <w:pPr>
        <w:pStyle w:val="Heading2"/>
        <w:spacing w:after="160" w:before="300"/>
      </w:pPr>
      <w:r>
        <w:rPr>
          <w:rFonts w:ascii="Georgia" w:cs="Georgia" w:eastAsia="Georgia" w:hAnsi="Georgia"/>
          <w:b/>
          <w:bCs/>
          <w:color w:val="1A1A1A"/>
          <w:sz w:val="25"/>
          <w:szCs w:val="25"/>
        </w:rPr>
        <w:t xml:space="preserve">5. Operational risk</w:t>
      </w:r>
    </w:p>
    <w:p>
      <w:pPr>
        <w:spacing w:after="140" w:before="0" w:line="320"/>
        <w:jc w:val="left"/>
      </w:pPr>
      <w:r>
        <w:rPr>
          <w:rFonts w:ascii="Calibri" w:cs="Calibri" w:eastAsia="Calibri" w:hAnsi="Calibri"/>
          <w:b w:val="false"/>
          <w:bCs w:val="false"/>
          <w:i w:val="false"/>
          <w:iCs w:val="false"/>
          <w:color w:val="1A1A1A"/>
          <w:sz w:val="22"/>
          <w:szCs w:val="22"/>
        </w:rPr>
        <w:t xml:space="preserve">Q1 operational losses KES 141 million versus prior quarter KES 85 million. Composition: cyber/fraud (KES 64 million across Q1), insider events (KES 35 million from Q4 case completions), process events (KES 42 million).</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Operational losses elevated significantly in Q1. The cyber and fraud component is being addressed through the Mandiant-recommended programme and the digital lending risk remediation programme. The insider events component reflects Q4 case completions and is non-recurring. The process events component requires examination — KES 42 million in process losses across Q1 is a 50% increase year-on-year. Recommend Internal Audit review process risk programme during Q2.</w:t>
      </w:r>
    </w:p>
    <w:p>
      <w:pPr>
        <w:pStyle w:val="Heading2"/>
        <w:spacing w:after="160" w:before="300"/>
      </w:pPr>
      <w:r>
        <w:rPr>
          <w:rFonts w:ascii="Georgia" w:cs="Georgia" w:eastAsia="Georgia" w:hAnsi="Georgia"/>
          <w:b/>
          <w:bCs/>
          <w:color w:val="1A1A1A"/>
          <w:sz w:val="25"/>
          <w:szCs w:val="25"/>
        </w:rPr>
        <w:t xml:space="preserve">6. Cyber risk</w:t>
      </w:r>
    </w:p>
    <w:p>
      <w:pPr>
        <w:spacing w:after="140" w:before="0" w:line="320"/>
        <w:jc w:val="left"/>
      </w:pPr>
      <w:r>
        <w:rPr>
          <w:rFonts w:ascii="Calibri" w:cs="Calibri" w:eastAsia="Calibri" w:hAnsi="Calibri"/>
          <w:b w:val="false"/>
          <w:bCs w:val="false"/>
          <w:i w:val="false"/>
          <w:iCs w:val="false"/>
          <w:color w:val="1A1A1A"/>
          <w:sz w:val="22"/>
          <w:szCs w:val="22"/>
        </w:rPr>
        <w:t xml:space="preserve">Q1 cyber attempts: 1,838 (up 46% Q-o-Q). Successful events Q1: four (BEC, two phishing, SQL injection contained). Direct losses Q1: KES 30 million.</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Cyber risk has materially escalated. The Mandiant assessment recommendations are appropriate and Risk Committee endorses the implementation. Risk Committee additionally recommends: establishment of a cyber risk appetite statement (the Bank does not currently have one); quarterly cyber risk dashboard reporting at both Risk Committee and Audit Committee; annual cyber tabletop exercise involving the executive team and Board.</w:t>
      </w:r>
    </w:p>
    <w:p>
      <w:pPr>
        <w:pStyle w:val="Heading2"/>
        <w:spacing w:after="160" w:before="300"/>
      </w:pPr>
      <w:r>
        <w:rPr>
          <w:rFonts w:ascii="Georgia" w:cs="Georgia" w:eastAsia="Georgia" w:hAnsi="Georgia"/>
          <w:b/>
          <w:bCs/>
          <w:color w:val="1A1A1A"/>
          <w:sz w:val="25"/>
          <w:szCs w:val="25"/>
        </w:rPr>
        <w:t xml:space="preserve">Recommendations to the Board</w:t>
      </w:r>
    </w:p>
    <w:p>
      <w:pPr>
        <w:pStyle w:val="ListParagraph"/>
        <w:numPr>
          <w:ilvl w:val="0"/>
          <w:numId w:val="2"/>
        </w:numPr>
        <w:spacing w:after="90" w:line="320"/>
      </w:pPr>
      <w:r>
        <w:rPr>
          <w:rFonts w:ascii="Calibri" w:cs="Calibri" w:eastAsia="Calibri" w:hAnsi="Calibri"/>
          <w:color w:val="1A1A1A"/>
          <w:sz w:val="22"/>
          <w:szCs w:val="22"/>
        </w:rPr>
        <w:t xml:space="preserve">Endorse the Audit Committee's recommendation on the Tier 1 capital plan (Risk Committee concurrence).</w:t>
      </w:r>
    </w:p>
    <w:p>
      <w:pPr>
        <w:pStyle w:val="ListParagraph"/>
        <w:numPr>
          <w:ilvl w:val="0"/>
          <w:numId w:val="2"/>
        </w:numPr>
        <w:spacing w:after="90" w:line="320"/>
      </w:pPr>
      <w:r>
        <w:rPr>
          <w:rFonts w:ascii="Calibri" w:cs="Calibri" w:eastAsia="Calibri" w:hAnsi="Calibri"/>
          <w:color w:val="1A1A1A"/>
          <w:sz w:val="22"/>
          <w:szCs w:val="22"/>
        </w:rPr>
        <w:t xml:space="preserve">Endorse the digital lending risk remediation programme (Risk Committee concurrence).</w:t>
      </w:r>
    </w:p>
    <w:p>
      <w:pPr>
        <w:pStyle w:val="ListParagraph"/>
        <w:numPr>
          <w:ilvl w:val="0"/>
          <w:numId w:val="2"/>
        </w:numPr>
        <w:spacing w:after="90" w:line="320"/>
      </w:pPr>
      <w:r>
        <w:rPr>
          <w:rFonts w:ascii="Calibri" w:cs="Calibri" w:eastAsia="Calibri" w:hAnsi="Calibri"/>
          <w:color w:val="1A1A1A"/>
          <w:sz w:val="22"/>
          <w:szCs w:val="22"/>
        </w:rPr>
        <w:t xml:space="preserve">Endorse the cyber tooling investment (Risk Committee concurrence with additional cyber risk appetite recommendation).</w:t>
      </w:r>
    </w:p>
    <w:p>
      <w:pPr>
        <w:pStyle w:val="ListParagraph"/>
        <w:numPr>
          <w:ilvl w:val="0"/>
          <w:numId w:val="2"/>
        </w:numPr>
        <w:spacing w:after="90" w:line="320"/>
      </w:pPr>
      <w:r>
        <w:rPr>
          <w:rFonts w:ascii="Calibri" w:cs="Calibri" w:eastAsia="Calibri" w:hAnsi="Calibri"/>
          <w:color w:val="1A1A1A"/>
          <w:sz w:val="22"/>
          <w:szCs w:val="22"/>
        </w:rPr>
        <w:t xml:space="preserve">Approve the establishment of a capital trigger framework (Risk Committee specific recommendation).</w:t>
      </w:r>
    </w:p>
    <w:p>
      <w:pPr>
        <w:pStyle w:val="ListParagraph"/>
        <w:numPr>
          <w:ilvl w:val="0"/>
          <w:numId w:val="2"/>
        </w:numPr>
        <w:spacing w:after="90" w:line="320"/>
      </w:pPr>
      <w:r>
        <w:rPr>
          <w:rFonts w:ascii="Calibri" w:cs="Calibri" w:eastAsia="Calibri" w:hAnsi="Calibri"/>
          <w:color w:val="1A1A1A"/>
          <w:sz w:val="22"/>
          <w:szCs w:val="22"/>
        </w:rPr>
        <w:t xml:space="preserve">Approve the establishment of a cyber risk appetite statement (Risk Committee specific recommendation).</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11 OF 11</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Board of Directors — 15 May 2026</w:t>
      </w:r>
    </w:p>
    <w:p>
      <w:pPr>
        <w:spacing w:after="240"/>
      </w:pPr>
      <w:r>
        <w:rPr>
          <w:rFonts w:ascii="Georgia" w:cs="Georgia" w:eastAsia="Georgia" w:hAnsi="Georgia"/>
          <w:i/>
          <w:iCs/>
          <w:color w:val="2B2B2A"/>
          <w:sz w:val="26"/>
          <w:szCs w:val="26"/>
        </w:rPr>
        <w:t xml:space="preserve">Quarterly Board Meeting (Q1 2026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Friday, 15 May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09:00 — 16:30 (with adjournment for lunch)</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Ubora Bank Head Office, Nairobi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Margaret Njeri (Board Chair)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 (8 of 9 directors present)</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w:t>
      </w:r>
    </w:p>
    <w:p>
      <w:pPr>
        <w:spacing w:after="140" w:before="0" w:line="320"/>
        <w:jc w:val="left"/>
      </w:pPr>
      <w:r>
        <w:rPr>
          <w:rFonts w:ascii="Calibri" w:cs="Calibri" w:eastAsia="Calibri" w:hAnsi="Calibri"/>
          <w:b w:val="false"/>
          <w:bCs w:val="false"/>
          <w:i w:val="false"/>
          <w:iCs w:val="false"/>
          <w:color w:val="1A1A1A"/>
          <w:sz w:val="22"/>
          <w:szCs w:val="22"/>
        </w:rPr>
        <w:t xml:space="preserve">Present: Margaret Njeri (Chair), James Kiprop (CEO), Bram Mwalo, Wanjiku Karanja, David Otieno, Susan Mwende, George Wachira, Esther Mutuku, Joseph Kimani.</w:t>
      </w:r>
    </w:p>
    <w:p>
      <w:pPr>
        <w:spacing w:after="140" w:before="0" w:line="320"/>
        <w:jc w:val="left"/>
      </w:pPr>
      <w:r>
        <w:rPr>
          <w:rFonts w:ascii="Calibri" w:cs="Calibri" w:eastAsia="Calibri" w:hAnsi="Calibri"/>
          <w:b w:val="false"/>
          <w:bCs w:val="false"/>
          <w:i w:val="false"/>
          <w:iCs w:val="false"/>
          <w:color w:val="1A1A1A"/>
          <w:sz w:val="22"/>
          <w:szCs w:val="22"/>
        </w:rPr>
        <w:t xml:space="preserve">Apology: David Cheruiyot (notified ahead of meeting; written input on Tier 1 capital plan circulated to attending directors).</w:t>
      </w:r>
    </w:p>
    <w:p>
      <w:pPr>
        <w:spacing w:after="140" w:before="0" w:line="320"/>
        <w:jc w:val="left"/>
      </w:pPr>
      <w:r>
        <w:rPr>
          <w:rFonts w:ascii="Calibri" w:cs="Calibri" w:eastAsia="Calibri" w:hAnsi="Calibri"/>
          <w:b w:val="false"/>
          <w:bCs w:val="false"/>
          <w:i w:val="false"/>
          <w:iCs w:val="false"/>
          <w:color w:val="1A1A1A"/>
          <w:sz w:val="22"/>
          <w:szCs w:val="22"/>
        </w:rPr>
        <w:t xml:space="preserve">Management attendees: Margaret Wambui (CFO), Daniel Mutua (CRO), Mary Achieng (Head of Internal Audit), Catherine Onyango (Company Secretary).</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None new. Standing register reviewed.</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Minutes of the meeting held on 14 February 2026 confirmed.</w:t>
      </w:r>
    </w:p>
    <w:p>
      <w:pPr>
        <w:pStyle w:val="Heading2"/>
        <w:spacing w:after="160" w:before="300"/>
      </w:pPr>
      <w:r>
        <w:rPr>
          <w:rFonts w:ascii="Georgia" w:cs="Georgia" w:eastAsia="Georgia" w:hAnsi="Georgia"/>
          <w:b/>
          <w:bCs/>
          <w:color w:val="1A1A1A"/>
          <w:sz w:val="25"/>
          <w:szCs w:val="25"/>
        </w:rPr>
        <w:t xml:space="preserve">4. Action items review</w:t>
      </w:r>
    </w:p>
    <w:p>
      <w:pPr>
        <w:spacing w:after="140" w:before="0" w:line="320"/>
        <w:jc w:val="left"/>
      </w:pPr>
      <w:r>
        <w:rPr>
          <w:rFonts w:ascii="Calibri" w:cs="Calibri" w:eastAsia="Calibri" w:hAnsi="Calibri"/>
          <w:b w:val="false"/>
          <w:bCs w:val="false"/>
          <w:i w:val="false"/>
          <w:iCs w:val="false"/>
          <w:color w:val="1A1A1A"/>
          <w:sz w:val="22"/>
          <w:szCs w:val="22"/>
        </w:rPr>
        <w:t xml:space="preserve">Twenty-three action items reviewed. Twenty closed; three carried forward (Tier 1 capital structuring detail, digital lending programme finalisation, cyber tooling assessment) — all addressed in this meeting's substantive items.</w:t>
      </w:r>
    </w:p>
    <w:p>
      <w:pPr>
        <w:pStyle w:val="Heading2"/>
        <w:spacing w:after="160" w:before="300"/>
      </w:pPr>
      <w:r>
        <w:rPr>
          <w:rFonts w:ascii="Georgia" w:cs="Georgia" w:eastAsia="Georgia" w:hAnsi="Georgia"/>
          <w:b/>
          <w:bCs/>
          <w:color w:val="1A1A1A"/>
          <w:sz w:val="25"/>
          <w:szCs w:val="25"/>
        </w:rPr>
        <w:t xml:space="preserve">5. CEO's report and Q1 close</w:t>
      </w:r>
    </w:p>
    <w:p>
      <w:pPr>
        <w:spacing w:after="140" w:before="0" w:line="320"/>
        <w:jc w:val="left"/>
      </w:pPr>
      <w:r>
        <w:rPr>
          <w:rFonts w:ascii="Calibri" w:cs="Calibri" w:eastAsia="Calibri" w:hAnsi="Calibri"/>
          <w:b w:val="false"/>
          <w:bCs w:val="false"/>
          <w:i w:val="false"/>
          <w:iCs w:val="false"/>
          <w:color w:val="1A1A1A"/>
          <w:sz w:val="22"/>
          <w:szCs w:val="22"/>
        </w:rPr>
        <w:t xml:space="preserve">The CEO presented the Q1 close position. PBT KES 135 million (53% below plan), provisioning coverage closed at 50.2%, CAR 14.18%, NPL 5.8%. Three substantive items for Board decision: Tier 1 capital plan, digital lending risk remediation programme, cyber tooling investment.</w:t>
      </w:r>
    </w:p>
    <w:p>
      <w:pPr>
        <w:spacing w:after="140" w:before="0" w:line="320"/>
        <w:jc w:val="left"/>
      </w:pPr>
      <w:r>
        <w:rPr>
          <w:rFonts w:ascii="Calibri" w:cs="Calibri" w:eastAsia="Calibri" w:hAnsi="Calibri"/>
          <w:b w:val="false"/>
          <w:bCs w:val="false"/>
          <w:i w:val="false"/>
          <w:iCs w:val="false"/>
          <w:color w:val="1A1A1A"/>
          <w:sz w:val="22"/>
          <w:szCs w:val="22"/>
        </w:rPr>
        <w:t xml:space="preserve">The Board Chair (Margaret Njeri) acknowledged the difficulty of the quarter and the substantive remediation work undertaken. She invited the Audit Committee Chair (Bram Mwalo) to present the Audit Committee's perspective on Q1 close before turning to the three substantive decisions.</w:t>
      </w:r>
    </w:p>
    <w:p>
      <w:pPr>
        <w:pStyle w:val="Heading2"/>
        <w:spacing w:after="160" w:before="300"/>
      </w:pPr>
      <w:r>
        <w:rPr>
          <w:rFonts w:ascii="Georgia" w:cs="Georgia" w:eastAsia="Georgia" w:hAnsi="Georgia"/>
          <w:b/>
          <w:bCs/>
          <w:color w:val="1A1A1A"/>
          <w:sz w:val="25"/>
          <w:szCs w:val="25"/>
        </w:rPr>
        <w:t xml:space="preserve">6. Audit Committee Q1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Audit Committee Chair (Bram Mwalo) presented the consolidated Q1 perspective. Key points:</w:t>
      </w:r>
    </w:p>
    <w:p>
      <w:pPr>
        <w:pStyle w:val="ListParagraph"/>
        <w:numPr>
          <w:ilvl w:val="0"/>
          <w:numId w:val="2"/>
        </w:numPr>
        <w:spacing w:after="90" w:line="320"/>
      </w:pPr>
      <w:r>
        <w:rPr>
          <w:rFonts w:ascii="Calibri" w:cs="Calibri" w:eastAsia="Calibri" w:hAnsi="Calibri"/>
          <w:color w:val="1A1A1A"/>
          <w:sz w:val="22"/>
          <w:szCs w:val="22"/>
        </w:rPr>
        <w:t xml:space="preserve">The provisioning trajectory was achieved through three additional tranches totalling KES 245 million above original plan. Q1 close at 50.2% meets the regulatory minimum but operates with marginal headroom.</w:t>
      </w:r>
    </w:p>
    <w:p>
      <w:pPr>
        <w:pStyle w:val="ListParagraph"/>
        <w:numPr>
          <w:ilvl w:val="0"/>
          <w:numId w:val="2"/>
        </w:numPr>
        <w:spacing w:after="90" w:line="320"/>
      </w:pPr>
      <w:r>
        <w:rPr>
          <w:rFonts w:ascii="Calibri" w:cs="Calibri" w:eastAsia="Calibri" w:hAnsi="Calibri"/>
          <w:color w:val="1A1A1A"/>
          <w:sz w:val="22"/>
          <w:szCs w:val="22"/>
        </w:rPr>
        <w:t xml:space="preserve">PwC interim review confirms the Q1 close calculation. Three forward-looking observations have been incorporated into Q2 planning (digital lending model implementation, corporate book refresh in H2, model validation process review).</w:t>
      </w:r>
    </w:p>
    <w:p>
      <w:pPr>
        <w:pStyle w:val="ListParagraph"/>
        <w:numPr>
          <w:ilvl w:val="0"/>
          <w:numId w:val="2"/>
        </w:numPr>
        <w:spacing w:after="90" w:line="320"/>
      </w:pPr>
      <w:r>
        <w:rPr>
          <w:rFonts w:ascii="Calibri" w:cs="Calibri" w:eastAsia="Calibri" w:hAnsi="Calibri"/>
          <w:color w:val="1A1A1A"/>
          <w:sz w:val="22"/>
          <w:szCs w:val="22"/>
        </w:rPr>
        <w:t xml:space="preserve">AML transaction monitoring CBK self-report formally closed on 28 April. Internal Audit post-implementation review confirms remediation effectiveness.</w:t>
      </w:r>
    </w:p>
    <w:p>
      <w:pPr>
        <w:pStyle w:val="ListParagraph"/>
        <w:numPr>
          <w:ilvl w:val="0"/>
          <w:numId w:val="2"/>
        </w:numPr>
        <w:spacing w:after="90" w:line="320"/>
      </w:pPr>
      <w:r>
        <w:rPr>
          <w:rFonts w:ascii="Calibri" w:cs="Calibri" w:eastAsia="Calibri" w:hAnsi="Calibri"/>
          <w:color w:val="1A1A1A"/>
          <w:sz w:val="22"/>
          <w:szCs w:val="22"/>
        </w:rPr>
        <w:t xml:space="preserve">The Findings Remediation Tracker is now in production. Three findings outstanding over twelve months at Q1 start are closed or in committed closure.</w:t>
      </w:r>
    </w:p>
    <w:p>
      <w:pPr>
        <w:spacing w:after="140" w:before="0" w:line="320"/>
        <w:jc w:val="left"/>
      </w:pPr>
      <w:r>
        <w:rPr>
          <w:rFonts w:ascii="Calibri" w:cs="Calibri" w:eastAsia="Calibri" w:hAnsi="Calibri"/>
          <w:b w:val="false"/>
          <w:bCs w:val="false"/>
          <w:i w:val="false"/>
          <w:iCs w:val="false"/>
          <w:color w:val="1A1A1A"/>
          <w:sz w:val="22"/>
          <w:szCs w:val="22"/>
        </w:rPr>
        <w:t xml:space="preserve">The Chair (Bram Mwalo) noted his Committee's view that Q2 would still operate under elevated supervisory scrutiny and that the Bank should not relax remediation discipline.</w:t>
      </w:r>
    </w:p>
    <w:p>
      <w:pPr>
        <w:pStyle w:val="Heading2"/>
        <w:spacing w:after="160" w:before="300"/>
      </w:pPr>
      <w:r>
        <w:rPr>
          <w:rFonts w:ascii="Georgia" w:cs="Georgia" w:eastAsia="Georgia" w:hAnsi="Georgia"/>
          <w:b/>
          <w:bCs/>
          <w:color w:val="1A1A1A"/>
          <w:sz w:val="25"/>
          <w:szCs w:val="25"/>
        </w:rPr>
        <w:t xml:space="preserve">7. Risk Committee Q1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Risk Committee Chair (George Wachira) presented the Risk Committee's perspective. Risk Committee concurs with Audit Committee endorsements on Tier 1 capital, digital lending remediation, and cyber tooling. Two specific Risk Committee recommendations: capital trigger framework, cyber risk appetite statement.</w:t>
      </w:r>
    </w:p>
    <w:p>
      <w:pPr>
        <w:pStyle w:val="Heading2"/>
        <w:spacing w:after="160" w:before="300"/>
      </w:pPr>
      <w:r>
        <w:rPr>
          <w:rFonts w:ascii="Georgia" w:cs="Georgia" w:eastAsia="Georgia" w:hAnsi="Georgia"/>
          <w:b/>
          <w:bCs/>
          <w:color w:val="1A1A1A"/>
          <w:sz w:val="25"/>
          <w:szCs w:val="25"/>
        </w:rPr>
        <w:t xml:space="preserve">8. Tier 1 capital plan</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plan. KES 1.2 billion subordinated note, five-year, callable after year three, indicative pricing 14.75%, issuance window Q3 2026.</w:t>
      </w:r>
    </w:p>
    <w:p>
      <w:pPr>
        <w:spacing w:after="140" w:before="0" w:line="320"/>
        <w:jc w:val="left"/>
      </w:pPr>
      <w:r>
        <w:rPr>
          <w:rFonts w:ascii="Calibri" w:cs="Calibri" w:eastAsia="Calibri" w:hAnsi="Calibri"/>
          <w:b w:val="false"/>
          <w:bCs w:val="false"/>
          <w:i w:val="false"/>
          <w:iCs w:val="false"/>
          <w:color w:val="1A1A1A"/>
          <w:sz w:val="22"/>
          <w:szCs w:val="22"/>
        </w:rPr>
        <w:t xml:space="preserve">The Board Chair invited Bram Mwalo (Audit) and George Wachira (Risk) to present committee endorsements. Both confirmed.</w:t>
      </w:r>
    </w:p>
    <w:p>
      <w:pPr>
        <w:spacing w:after="140" w:before="0" w:line="320"/>
        <w:jc w:val="left"/>
      </w:pPr>
      <w:r>
        <w:rPr>
          <w:rFonts w:ascii="Calibri" w:cs="Calibri" w:eastAsia="Calibri" w:hAnsi="Calibri"/>
          <w:b w:val="false"/>
          <w:bCs w:val="false"/>
          <w:i w:val="false"/>
          <w:iCs w:val="false"/>
          <w:color w:val="1A1A1A"/>
          <w:sz w:val="22"/>
          <w:szCs w:val="22"/>
        </w:rPr>
        <w:t xml:space="preserve">Susan Mwende (Independent Director) asked about shareholder consultation. The CEO confirmed initial discussions had been favourable; formal consultation in June.</w:t>
      </w:r>
    </w:p>
    <w:p>
      <w:pPr>
        <w:spacing w:after="140" w:before="0" w:line="320"/>
        <w:jc w:val="left"/>
      </w:pPr>
      <w:r>
        <w:rPr>
          <w:rFonts w:ascii="Calibri" w:cs="Calibri" w:eastAsia="Calibri" w:hAnsi="Calibri"/>
          <w:b w:val="false"/>
          <w:bCs w:val="false"/>
          <w:i w:val="false"/>
          <w:iCs w:val="false"/>
          <w:color w:val="1A1A1A"/>
          <w:sz w:val="22"/>
          <w:szCs w:val="22"/>
        </w:rPr>
        <w:t xml:space="preserve">Joseph Kimani asked whether the issuance window of August-September 2026 carried specific market risk. The CFO indicated the window was selected to align with peer issuance calendars and avoid mid-year volatility; Stanbic (debt advisor) had endorsed the window selection.</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approves the Tier 1 capital plan in principle. Detailed pricing and timing to be finalised by the Board Risk Committee in June. Shareholder consultation to commence in June. Carried unanimously.</w:t>
      </w:r>
    </w:p>
    <w:p>
      <w:pPr>
        <w:pStyle w:val="Heading2"/>
        <w:spacing w:after="160" w:before="300"/>
      </w:pPr>
      <w:r>
        <w:rPr>
          <w:rFonts w:ascii="Georgia" w:cs="Georgia" w:eastAsia="Georgia" w:hAnsi="Georgia"/>
          <w:b/>
          <w:bCs/>
          <w:color w:val="1A1A1A"/>
          <w:sz w:val="25"/>
          <w:szCs w:val="25"/>
        </w:rPr>
        <w:t xml:space="preserve">9. Digital lending risk remediation programme</w:t>
      </w:r>
    </w:p>
    <w:p>
      <w:pPr>
        <w:spacing w:after="140" w:before="0" w:line="320"/>
        <w:jc w:val="left"/>
      </w:pPr>
      <w:r>
        <w:rPr>
          <w:rFonts w:ascii="Calibri" w:cs="Calibri" w:eastAsia="Calibri" w:hAnsi="Calibri"/>
          <w:b w:val="false"/>
          <w:bCs w:val="false"/>
          <w:i w:val="false"/>
          <w:iCs w:val="false"/>
          <w:color w:val="1A1A1A"/>
          <w:sz w:val="22"/>
          <w:szCs w:val="22"/>
        </w:rPr>
        <w:t xml:space="preserve">The CRO presented the programme. Pause on new digital lending product launches Q2-Q3, scoring refresh, collections rebuild, fraud detection upgrade. Capital allocation KES 280 million.</w:t>
      </w:r>
    </w:p>
    <w:p>
      <w:pPr>
        <w:spacing w:after="140" w:before="0" w:line="320"/>
        <w:jc w:val="left"/>
      </w:pPr>
      <w:r>
        <w:rPr>
          <w:rFonts w:ascii="Calibri" w:cs="Calibri" w:eastAsia="Calibri" w:hAnsi="Calibri"/>
          <w:b w:val="false"/>
          <w:bCs w:val="false"/>
          <w:i w:val="false"/>
          <w:iCs w:val="false"/>
          <w:color w:val="1A1A1A"/>
          <w:sz w:val="22"/>
          <w:szCs w:val="22"/>
        </w:rPr>
        <w:t xml:space="preserve">Bram Mwalo (Audit Chair) confirmed Audit Committee endorsement and noted the structural importance of the pause on new product launches.</w:t>
      </w:r>
    </w:p>
    <w:p>
      <w:pPr>
        <w:spacing w:after="140" w:before="0" w:line="320"/>
        <w:jc w:val="left"/>
      </w:pPr>
      <w:r>
        <w:rPr>
          <w:rFonts w:ascii="Calibri" w:cs="Calibri" w:eastAsia="Calibri" w:hAnsi="Calibri"/>
          <w:b w:val="false"/>
          <w:bCs w:val="false"/>
          <w:i w:val="false"/>
          <w:iCs w:val="false"/>
          <w:color w:val="1A1A1A"/>
          <w:sz w:val="22"/>
          <w:szCs w:val="22"/>
        </w:rPr>
        <w:t xml:space="preserve">George Wachira (Risk Chair) confirmed Risk Committee endorsement.</w:t>
      </w:r>
    </w:p>
    <w:p>
      <w:pPr>
        <w:spacing w:after="140" w:before="0" w:line="320"/>
        <w:jc w:val="left"/>
      </w:pPr>
      <w:r>
        <w:rPr>
          <w:rFonts w:ascii="Calibri" w:cs="Calibri" w:eastAsia="Calibri" w:hAnsi="Calibri"/>
          <w:b w:val="false"/>
          <w:bCs w:val="false"/>
          <w:i w:val="false"/>
          <w:iCs w:val="false"/>
          <w:color w:val="1A1A1A"/>
          <w:sz w:val="22"/>
          <w:szCs w:val="22"/>
        </w:rPr>
        <w:t xml:space="preserve">Wanjiku Karanja asked about competitive implications of the pause. The CRO indicated existing products would continue to be offered with tightened origination criteria; competitive risk was acknowledged but the alternative was unacceptable from a risk perspective.</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approves the digital lending risk remediation programme and the capital allocation of KES 280 million across Q2-Q3 2026. Carried unanimously.</w:t>
      </w:r>
    </w:p>
    <w:p>
      <w:pPr>
        <w:pStyle w:val="Heading2"/>
        <w:spacing w:after="160" w:before="300"/>
      </w:pPr>
      <w:r>
        <w:rPr>
          <w:rFonts w:ascii="Georgia" w:cs="Georgia" w:eastAsia="Georgia" w:hAnsi="Georgia"/>
          <w:b/>
          <w:bCs/>
          <w:color w:val="1A1A1A"/>
          <w:sz w:val="25"/>
          <w:szCs w:val="25"/>
        </w:rPr>
        <w:t xml:space="preserve">10. Cyber tooling investment</w:t>
      </w:r>
    </w:p>
    <w:p>
      <w:pPr>
        <w:spacing w:after="140" w:before="0" w:line="320"/>
        <w:jc w:val="left"/>
      </w:pPr>
      <w:r>
        <w:rPr>
          <w:rFonts w:ascii="Calibri" w:cs="Calibri" w:eastAsia="Calibri" w:hAnsi="Calibri"/>
          <w:b w:val="false"/>
          <w:bCs w:val="false"/>
          <w:i w:val="false"/>
          <w:iCs w:val="false"/>
          <w:color w:val="1A1A1A"/>
          <w:sz w:val="22"/>
          <w:szCs w:val="22"/>
        </w:rPr>
        <w:t xml:space="preserve">The CRO presented the Mandiant-derived recommendations. KES 95 million across Q2-Q3, three additional FTEs in security operations.</w:t>
      </w:r>
    </w:p>
    <w:p>
      <w:pPr>
        <w:spacing w:after="140" w:before="0" w:line="320"/>
        <w:jc w:val="left"/>
      </w:pPr>
      <w:r>
        <w:rPr>
          <w:rFonts w:ascii="Calibri" w:cs="Calibri" w:eastAsia="Calibri" w:hAnsi="Calibri"/>
          <w:b w:val="false"/>
          <w:bCs w:val="false"/>
          <w:i w:val="false"/>
          <w:iCs w:val="false"/>
          <w:color w:val="1A1A1A"/>
          <w:sz w:val="22"/>
          <w:szCs w:val="22"/>
        </w:rPr>
        <w:t xml:space="preserve">Bram Mwalo and George Wachira confirmed Committee endorsements.</w:t>
      </w:r>
    </w:p>
    <w:p>
      <w:pPr>
        <w:spacing w:after="140" w:before="0" w:line="320"/>
        <w:jc w:val="left"/>
      </w:pPr>
      <w:r>
        <w:rPr>
          <w:rFonts w:ascii="Calibri" w:cs="Calibri" w:eastAsia="Calibri" w:hAnsi="Calibri"/>
          <w:b w:val="false"/>
          <w:bCs w:val="false"/>
          <w:i w:val="false"/>
          <w:iCs w:val="false"/>
          <w:color w:val="1A1A1A"/>
          <w:sz w:val="22"/>
          <w:szCs w:val="22"/>
        </w:rPr>
        <w:t xml:space="preserve">David Otieno (who had sponsored the original Mandiant engagement) endorsed the recommendations and added that the Bank's cyber posture had been below peer median; the recommendations would bring the Bank to median or slightly above.</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approves: cyber tooling investment of KES 95 million across Q2-Q3 2026; operational capacity expansion of three FTEs; elevation of cyber posture to a standing Board agenda item; establishment of a cyber risk appetite statement (Risk Committee recommendation accepted). Carried unanimously.</w:t>
      </w:r>
    </w:p>
    <w:p>
      <w:pPr>
        <w:pStyle w:val="Heading2"/>
        <w:spacing w:after="160" w:before="300"/>
      </w:pPr>
      <w:r>
        <w:rPr>
          <w:rFonts w:ascii="Georgia" w:cs="Georgia" w:eastAsia="Georgia" w:hAnsi="Georgia"/>
          <w:b/>
          <w:bCs/>
          <w:color w:val="1A1A1A"/>
          <w:sz w:val="25"/>
          <w:szCs w:val="25"/>
        </w:rPr>
        <w:t xml:space="preserve">11. Capital trigger framework</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framework concept (Risk Committee recommendation). Pre-defined actions activating at CAR thresholds of 14.10%, 14.05%, 14.00% breach.</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approves in principle. Detailed framework to be developed by management with Risk Committee oversight; Board approval of detailed framework at September meeting. Carried unanimously.</w:t>
      </w:r>
    </w:p>
    <w:p>
      <w:pPr>
        <w:pStyle w:val="Heading2"/>
        <w:spacing w:after="160" w:before="300"/>
      </w:pPr>
      <w:r>
        <w:rPr>
          <w:rFonts w:ascii="Georgia" w:cs="Georgia" w:eastAsia="Georgia" w:hAnsi="Georgia"/>
          <w:b/>
          <w:bCs/>
          <w:color w:val="1A1A1A"/>
          <w:sz w:val="25"/>
          <w:szCs w:val="25"/>
        </w:rPr>
        <w:t xml:space="preserve">12. Compliance update</w:t>
      </w:r>
    </w:p>
    <w:p>
      <w:pPr>
        <w:spacing w:after="140" w:before="0" w:line="320"/>
        <w:jc w:val="left"/>
      </w:pPr>
      <w:r>
        <w:rPr>
          <w:rFonts w:ascii="Calibri" w:cs="Calibri" w:eastAsia="Calibri" w:hAnsi="Calibri"/>
          <w:b w:val="false"/>
          <w:bCs w:val="false"/>
          <w:i w:val="false"/>
          <w:iCs w:val="false"/>
          <w:color w:val="1A1A1A"/>
          <w:sz w:val="22"/>
          <w:szCs w:val="22"/>
        </w:rPr>
        <w:t xml:space="preserve">The CRO updated the Board on the AML transaction monitoring CBK self-report closure (filed 28 April, acknowledged by CBK on 5 May). The Board noted the closure.</w:t>
      </w:r>
    </w:p>
    <w:p>
      <w:pPr>
        <w:pStyle w:val="Heading2"/>
        <w:spacing w:after="160" w:before="300"/>
      </w:pPr>
      <w:r>
        <w:rPr>
          <w:rFonts w:ascii="Georgia" w:cs="Georgia" w:eastAsia="Georgia" w:hAnsi="Georgia"/>
          <w:b/>
          <w:bCs/>
          <w:color w:val="1A1A1A"/>
          <w:sz w:val="25"/>
          <w:szCs w:val="25"/>
        </w:rPr>
        <w:t xml:space="preserve">13. People matters</w:t>
      </w:r>
    </w:p>
    <w:p>
      <w:pPr>
        <w:spacing w:after="140" w:before="0" w:line="320"/>
        <w:jc w:val="left"/>
      </w:pPr>
      <w:r>
        <w:rPr>
          <w:rFonts w:ascii="Calibri" w:cs="Calibri" w:eastAsia="Calibri" w:hAnsi="Calibri"/>
          <w:b w:val="false"/>
          <w:bCs w:val="false"/>
          <w:i w:val="false"/>
          <w:iCs w:val="false"/>
          <w:color w:val="1A1A1A"/>
          <w:sz w:val="22"/>
          <w:szCs w:val="22"/>
        </w:rPr>
        <w:t xml:space="preserve">The CEO informed the Board that Mary Achieng (Head of Internal Audit) had confirmed retirement effective 31 December 2026. Audit Committee succession sub-committee (Bram Mwalo, James Kiprop, HR Director) is conducting the search; final recommendation expected at June Board meeting.</w:t>
      </w:r>
    </w:p>
    <w:p>
      <w:pPr>
        <w:spacing w:after="140" w:before="0" w:line="320"/>
        <w:jc w:val="left"/>
      </w:pPr>
      <w:r>
        <w:rPr>
          <w:rFonts w:ascii="Calibri" w:cs="Calibri" w:eastAsia="Calibri" w:hAnsi="Calibri"/>
          <w:b w:val="false"/>
          <w:bCs w:val="false"/>
          <w:i w:val="false"/>
          <w:iCs w:val="false"/>
          <w:color w:val="1A1A1A"/>
          <w:sz w:val="22"/>
          <w:szCs w:val="22"/>
        </w:rPr>
        <w:t xml:space="preserve">The Board acknowledged Mary Achieng's contribution and looked forward to receiving the succession recommendation.</w:t>
      </w:r>
    </w:p>
    <w:p>
      <w:pPr>
        <w:pStyle w:val="Heading2"/>
        <w:spacing w:after="160" w:before="300"/>
      </w:pPr>
      <w:r>
        <w:rPr>
          <w:rFonts w:ascii="Georgia" w:cs="Georgia" w:eastAsia="Georgia" w:hAnsi="Georgia"/>
          <w:b/>
          <w:bCs/>
          <w:color w:val="1A1A1A"/>
          <w:sz w:val="25"/>
          <w:szCs w:val="25"/>
        </w:rPr>
        <w:t xml:space="preserve">14. Strategic items</w:t>
      </w:r>
    </w:p>
    <w:p>
      <w:pPr>
        <w:spacing w:after="140" w:before="0" w:line="320"/>
        <w:jc w:val="left"/>
      </w:pPr>
      <w:r>
        <w:rPr>
          <w:rFonts w:ascii="Calibri" w:cs="Calibri" w:eastAsia="Calibri" w:hAnsi="Calibri"/>
          <w:b w:val="false"/>
          <w:bCs w:val="false"/>
          <w:i w:val="false"/>
          <w:iCs w:val="false"/>
          <w:color w:val="1A1A1A"/>
          <w:sz w:val="22"/>
          <w:szCs w:val="22"/>
        </w:rPr>
        <w:t xml:space="preserve">The CEO presented two strategic items for Board consideration in subsequent meetings: real estate sector concentration policy (organic decline vs active reduction), and the corporate book provisioning model refresh planned for H2 2026.</w:t>
      </w:r>
    </w:p>
    <w:p>
      <w:pPr>
        <w:spacing w:after="140" w:before="0" w:line="320"/>
        <w:jc w:val="left"/>
      </w:pPr>
      <w:r>
        <w:rPr>
          <w:rFonts w:ascii="Calibri" w:cs="Calibri" w:eastAsia="Calibri" w:hAnsi="Calibri"/>
          <w:b w:val="false"/>
          <w:bCs w:val="false"/>
          <w:i w:val="false"/>
          <w:iCs w:val="false"/>
          <w:color w:val="1A1A1A"/>
          <w:sz w:val="22"/>
          <w:szCs w:val="22"/>
        </w:rPr>
        <w:t xml:space="preserve">The Board Chair confirmed both items would be on the September Board meeting agenda.</w:t>
      </w:r>
    </w:p>
    <w:p>
      <w:pPr>
        <w:pStyle w:val="Heading2"/>
        <w:spacing w:after="160" w:before="300"/>
      </w:pPr>
      <w:r>
        <w:rPr>
          <w:rFonts w:ascii="Georgia" w:cs="Georgia" w:eastAsia="Georgia" w:hAnsi="Georgia"/>
          <w:b/>
          <w:bCs/>
          <w:color w:val="1A1A1A"/>
          <w:sz w:val="25"/>
          <w:szCs w:val="25"/>
        </w:rPr>
        <w:t xml:space="preserve">15. Other matters</w:t>
      </w:r>
    </w:p>
    <w:p>
      <w:pPr>
        <w:spacing w:after="140" w:before="0" w:line="320"/>
        <w:jc w:val="left"/>
      </w:pPr>
      <w:r>
        <w:rPr>
          <w:rFonts w:ascii="Calibri" w:cs="Calibri" w:eastAsia="Calibri" w:hAnsi="Calibri"/>
          <w:b w:val="false"/>
          <w:bCs w:val="false"/>
          <w:i w:val="false"/>
          <w:iCs w:val="false"/>
          <w:color w:val="1A1A1A"/>
          <w:sz w:val="22"/>
          <w:szCs w:val="22"/>
        </w:rPr>
        <w:t xml:space="preserve">The CRO informed the Board of the Tanzania transport infrastructure incident affecting one cross-border lending exposure (KES 18 million). Not material individually; restructuring underway.</w:t>
      </w:r>
    </w:p>
    <w:p>
      <w:pPr>
        <w:pStyle w:val="Heading2"/>
        <w:spacing w:after="160" w:before="300"/>
      </w:pPr>
      <w:r>
        <w:rPr>
          <w:rFonts w:ascii="Georgia" w:cs="Georgia" w:eastAsia="Georgia" w:hAnsi="Georgia"/>
          <w:b/>
          <w:bCs/>
          <w:color w:val="1A1A1A"/>
          <w:sz w:val="25"/>
          <w:szCs w:val="25"/>
        </w:rPr>
        <w:t xml:space="preserve">16.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Next Board meeting: Friday 12 June 2026 (special meeting on Internal Audit Head succession). Subsequent quarterly Board meeting: Friday 12 September 2026.</w:t>
      </w:r>
    </w:p>
    <w:p>
      <w:pPr>
        <w:pStyle w:val="Heading2"/>
        <w:spacing w:after="160" w:before="300"/>
      </w:pPr>
      <w:r>
        <w:rPr>
          <w:rFonts w:ascii="Georgia" w:cs="Georgia" w:eastAsia="Georgia" w:hAnsi="Georgia"/>
          <w:b/>
          <w:bCs/>
          <w:color w:val="1A1A1A"/>
          <w:sz w:val="25"/>
          <w:szCs w:val="25"/>
        </w:rPr>
        <w:t xml:space="preserve">17. In camera session</w:t>
      </w:r>
    </w:p>
    <w:p>
      <w:pPr>
        <w:spacing w:after="140" w:before="0" w:line="320"/>
        <w:jc w:val="left"/>
      </w:pPr>
      <w:r>
        <w:rPr>
          <w:rFonts w:ascii="Calibri" w:cs="Calibri" w:eastAsia="Calibri" w:hAnsi="Calibri"/>
          <w:b w:val="false"/>
          <w:bCs w:val="false"/>
          <w:i w:val="false"/>
          <w:iCs w:val="false"/>
          <w:color w:val="1A1A1A"/>
          <w:sz w:val="22"/>
          <w:szCs w:val="22"/>
        </w:rPr>
        <w:t xml:space="preserve">The Board moved to in camera session at 15:30 covering: CEO performance discussion (without management present), Board succession planning, and one confidential matter. In camera minutes recorded separately.</w:t>
      </w:r>
    </w:p>
    <w:p>
      <w:pPr>
        <w:pStyle w:val="Heading2"/>
        <w:spacing w:after="160" w:before="300"/>
      </w:pPr>
      <w:r>
        <w:rPr>
          <w:rFonts w:ascii="Georgia" w:cs="Georgia" w:eastAsia="Georgia" w:hAnsi="Georgia"/>
          <w:b/>
          <w:bCs/>
          <w:color w:val="1A1A1A"/>
          <w:sz w:val="25"/>
          <w:szCs w:val="25"/>
        </w:rPr>
        <w:t xml:space="preserve">18. Closing</w:t>
      </w:r>
    </w:p>
    <w:p>
      <w:pPr>
        <w:spacing w:after="140" w:before="0" w:line="320"/>
        <w:jc w:val="left"/>
      </w:pPr>
      <w:r>
        <w:rPr>
          <w:rFonts w:ascii="Calibri" w:cs="Calibri" w:eastAsia="Calibri" w:hAnsi="Calibri"/>
          <w:b w:val="false"/>
          <w:bCs w:val="false"/>
          <w:i w:val="false"/>
          <w:iCs w:val="false"/>
          <w:color w:val="1A1A1A"/>
          <w:sz w:val="22"/>
          <w:szCs w:val="22"/>
        </w:rPr>
        <w:t xml:space="preserve">The meeting closed at 16:30. The Board Chair thanked all attendees and noted her particular appreciation of the work done by the Audit Committee through Q1.</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Margaret Njeri, Board Chair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1" w:sz="4" w:space="4"/>
      </w:pBdr>
      <w:jc w:val="center"/>
    </w:pPr>
    <w:r>
      <w:rPr>
        <w:rFonts w:ascii="Calibri" w:cs="Calibri" w:eastAsia="Calibri" w:hAnsi="Calibri"/>
        <w:color w:val="6F6A5D"/>
        <w:sz w:val="16"/>
        <w:szCs w:val="16"/>
      </w:rPr>
      <w:t xml:space="preserve">Page </w:t>
    </w:r>
    <w:r>
      <w:rPr>
        <w:rFonts w:ascii="Calibri" w:cs="Calibri" w:eastAsia="Calibri" w:hAnsi="Calibri"/>
        <w:color w:val="6F6A5D"/>
        <w:sz w:val="16"/>
        <w:szCs w:val="16"/>
      </w:rPr>
      <w:fldChar w:fldCharType="begin"/>
      <w:instrText xml:space="preserve">PAGE</w:instrText>
      <w:fldChar w:fldCharType="separate"/>
      <w:fldChar w:fldCharType="end"/>
    </w:r>
    <w:r>
      <w:rPr>
        <w:rFonts w:ascii="Calibri" w:cs="Calibri" w:eastAsia="Calibri" w:hAnsi="Calibri"/>
        <w:color w:val="6F6A5D"/>
        <w:sz w:val="16"/>
        <w:szCs w:val="16"/>
      </w:rPr>
      <w:t xml:space="preserve"> / </w:t>
    </w:r>
    <w:r>
      <w:rPr>
        <w:rFonts w:ascii="Calibri" w:cs="Calibri" w:eastAsia="Calibri" w:hAnsi="Calibri"/>
        <w:color w:val="6F6A5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C1" w:sz="4" w:space="4"/>
      </w:pBdr>
      <w:jc w:val="left"/>
    </w:pPr>
    <w:r>
      <w:rPr>
        <w:rFonts w:ascii="Georgia" w:cs="Georgia" w:eastAsia="Georgia" w:hAnsi="Georgia"/>
        <w:b/>
        <w:bCs/>
        <w:color w:val="1A1A1A"/>
        <w:sz w:val="18"/>
        <w:szCs w:val="18"/>
      </w:rPr>
      <w:t xml:space="preserve">Ubora Bank · Q1 2026 Document 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Ubora Bank Q1 2026 Document Set</dc:title>
  <dc:creator>Syni.ai</dc:creator>
  <dc:description>11 documents covering Ubora Q1 2026 governance cycle</dc:description>
  <cp:lastModifiedBy>Un-named</cp:lastModifiedBy>
  <cp:revision>1</cp:revision>
  <dcterms:created xsi:type="dcterms:W3CDTF">2026-05-01T15:24:40.178Z</dcterms:created>
  <dcterms:modified xsi:type="dcterms:W3CDTF">2026-05-01T15:24:40.179Z</dcterms:modified>
</cp:coreProperties>
</file>

<file path=docProps/custom.xml><?xml version="1.0" encoding="utf-8"?>
<Properties xmlns="http://schemas.openxmlformats.org/officeDocument/2006/custom-properties" xmlns:vt="http://schemas.openxmlformats.org/officeDocument/2006/docPropsVTypes"/>
</file>