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pPr>
      <w:r>
        <w:rPr>
          <w:rFonts w:ascii="Calibri" w:cs="Calibri" w:eastAsia="Calibri" w:hAnsi="Calibri"/>
          <w:b/>
          <w:bCs/>
          <w:color w:val="8B2E2B"/>
          <w:sz w:val="16"/>
          <w:szCs w:val="16"/>
        </w:rPr>
        <w:t xml:space="preserve">T U R N   2   ·   A F Y A   +   S E N D W A   ·   Q 1   2 0 2 6</w:t>
      </w:r>
    </w:p>
    <w:p>
      <w:pPr>
        <w:pBdr>
          <w:bottom w:val="single" w:color="8B2E2B" w:sz="6" w:space="10"/>
        </w:pBdr>
        <w:spacing w:after="360"/>
      </w:pPr>
      <w:r>
        <w:t xml:space="preserve"/>
      </w:r>
    </w:p>
    <w:p>
      <w:pPr>
        <w:spacing w:after="100"/>
      </w:pPr>
      <w:r>
        <w:rPr>
          <w:rFonts w:ascii="Georgia" w:cs="Georgia" w:eastAsia="Georgia" w:hAnsi="Georgia"/>
          <w:b/>
          <w:bCs/>
          <w:color w:val="1A1A1A"/>
          <w:sz w:val="56"/>
          <w:szCs w:val="56"/>
        </w:rPr>
        <w:t xml:space="preserve">Q1 2026 Document Sets</w:t>
      </w:r>
    </w:p>
    <w:p>
      <w:pPr>
        <w:spacing w:after="600"/>
      </w:pPr>
      <w:r>
        <w:rPr>
          <w:rFonts w:ascii="Georgia" w:cs="Georgia" w:eastAsia="Georgia" w:hAnsi="Georgia"/>
          <w:i/>
          <w:iCs/>
          <w:color w:val="1A1A1A"/>
          <w:sz w:val="26"/>
          <w:szCs w:val="26"/>
        </w:rPr>
        <w:t xml:space="preserve">Afya Health Group + Sendwa Logistics</w:t>
      </w:r>
    </w:p>
    <w:p>
      <w:pPr>
        <w:spacing w:after="280" w:before="0" w:line="320"/>
        <w:jc w:val="left"/>
      </w:pPr>
      <w:r>
        <w:rPr>
          <w:rFonts w:ascii="Calibri" w:cs="Calibri" w:eastAsia="Calibri" w:hAnsi="Calibri"/>
          <w:b w:val="false"/>
          <w:bCs w:val="false"/>
          <w:i w:val="false"/>
          <w:iCs w:val="false"/>
          <w:color w:val="2B2B2A"/>
          <w:sz w:val="22"/>
          <w:szCs w:val="22"/>
        </w:rPr>
        <w:t xml:space="preserve">Two NED contexts at lighter governance cadence than Ubora. Each context produces a Q1 quarterly board pack, the relevant committee papers (Afya: Risk; Sendwa: Audit + Nominations), and minutes for the meetings. Numbers tie to the Tier 3 NED Contexts spreadsheet.</w:t>
      </w:r>
    </w:p>
    <w:p>
      <w:pPr>
        <w:spacing w:after="1200" w:before="0" w:line="320"/>
        <w:jc w:val="left"/>
      </w:pPr>
      <w:r>
        <w:rPr>
          <w:rFonts w:ascii="Calibri" w:cs="Calibri" w:eastAsia="Calibri" w:hAnsi="Calibri"/>
          <w:b w:val="false"/>
          <w:bCs w:val="false"/>
          <w:i w:val="false"/>
          <w:iCs w:val="false"/>
          <w:color w:val="2B2B2A"/>
          <w:sz w:val="22"/>
          <w:szCs w:val="22"/>
        </w:rPr>
        <w:t xml:space="preserve">Bram's role differs by context: Risk Member at Afya; Nominations Chair and Audit Member at Sendwa. The committee documents below reflect these mandates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Contexts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Afya Health Group; Sendwa Logistics</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Q1 2026 (January – March 2026)</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Document count</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Nine (4 Afya, 5 Sendwa)</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Currency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Afya: KES Millions; Sendwa: USD</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Bram's roles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Afya: Risk Member; Sendwa: Nominations Chair, Audit Member</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Companion data</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AKKI_Test_Data_NED_Contexts_Tier3.xlsx</w:t>
            </w:r>
          </w:p>
        </w:tc>
      </w:tr>
    </w:tbl>
    <w:p>
      <w:r>
        <w:br w:type="page"/>
      </w:r>
    </w:p>
    <w:p>
      <w:pPr>
        <w:pStyle w:val="Heading1"/>
        <w:spacing w:after="220" w:before="440"/>
      </w:pPr>
      <w:r>
        <w:rPr>
          <w:rFonts w:ascii="Georgia" w:cs="Georgia" w:eastAsia="Georgia" w:hAnsi="Georgia"/>
          <w:b/>
          <w:bCs/>
          <w:color w:val="1A1A1A"/>
          <w:sz w:val="34"/>
          <w:szCs w:val="34"/>
        </w:rPr>
        <w:t xml:space="preserve">Document index</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Section A — Afya Health Group</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A1. </w:t>
      </w:r>
      <w:r>
        <w:rPr>
          <w:rFonts w:ascii="Calibri" w:cs="Calibri" w:eastAsia="Calibri" w:hAnsi="Calibri"/>
          <w:b w:val="false"/>
          <w:bCs w:val="false"/>
          <w:i w:val="false"/>
          <w:iCs w:val="false"/>
          <w:color w:val="1A1A1A"/>
          <w:sz w:val="22"/>
          <w:szCs w:val="22"/>
        </w:rPr>
        <w:t xml:space="preserve">Q1 2026 Board Pack — Quarterly Report</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A2. </w:t>
      </w:r>
      <w:r>
        <w:rPr>
          <w:rFonts w:ascii="Calibri" w:cs="Calibri" w:eastAsia="Calibri" w:hAnsi="Calibri"/>
          <w:b w:val="false"/>
          <w:bCs w:val="false"/>
          <w:i w:val="false"/>
          <w:iCs w:val="false"/>
          <w:color w:val="1A1A1A"/>
          <w:sz w:val="22"/>
          <w:szCs w:val="22"/>
        </w:rPr>
        <w:t xml:space="preserve">Risk Committee Paper — Q1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A3. </w:t>
      </w:r>
      <w:r>
        <w:rPr>
          <w:rFonts w:ascii="Calibri" w:cs="Calibri" w:eastAsia="Calibri" w:hAnsi="Calibri"/>
          <w:b w:val="false"/>
          <w:bCs w:val="false"/>
          <w:i w:val="false"/>
          <w:iCs w:val="false"/>
          <w:color w:val="1A1A1A"/>
          <w:sz w:val="22"/>
          <w:szCs w:val="22"/>
        </w:rPr>
        <w:t xml:space="preserve">Risk Committee Minutes — 18 April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A4. </w:t>
      </w:r>
      <w:r>
        <w:rPr>
          <w:rFonts w:ascii="Calibri" w:cs="Calibri" w:eastAsia="Calibri" w:hAnsi="Calibri"/>
          <w:b w:val="false"/>
          <w:bCs w:val="false"/>
          <w:i w:val="false"/>
          <w:iCs w:val="false"/>
          <w:color w:val="1A1A1A"/>
          <w:sz w:val="22"/>
          <w:szCs w:val="22"/>
        </w:rPr>
        <w:t xml:space="preserve">Board Meeting Minutes — 25 April 2026</w:t>
      </w:r>
    </w:p>
    <w:p>
      <w:pPr>
        <w:spacing w:after="160"/>
      </w:pPr>
      <w:r>
        <w:t xml:space="preserve"/>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Section B — Sendwa Logistics</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B1. </w:t>
      </w:r>
      <w:r>
        <w:rPr>
          <w:rFonts w:ascii="Calibri" w:cs="Calibri" w:eastAsia="Calibri" w:hAnsi="Calibri"/>
          <w:b w:val="false"/>
          <w:bCs w:val="false"/>
          <w:i w:val="false"/>
          <w:iCs w:val="false"/>
          <w:color w:val="1A1A1A"/>
          <w:sz w:val="22"/>
          <w:szCs w:val="22"/>
        </w:rPr>
        <w:t xml:space="preserve">Q1 2026 Board Pack — Quarterly Report</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B2. </w:t>
      </w:r>
      <w:r>
        <w:rPr>
          <w:rFonts w:ascii="Calibri" w:cs="Calibri" w:eastAsia="Calibri" w:hAnsi="Calibri"/>
          <w:b w:val="false"/>
          <w:bCs w:val="false"/>
          <w:i w:val="false"/>
          <w:iCs w:val="false"/>
          <w:color w:val="1A1A1A"/>
          <w:sz w:val="22"/>
          <w:szCs w:val="22"/>
        </w:rPr>
        <w:t xml:space="preserve">Audit Committee Paper — Q1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B3. </w:t>
      </w:r>
      <w:r>
        <w:rPr>
          <w:rFonts w:ascii="Calibri" w:cs="Calibri" w:eastAsia="Calibri" w:hAnsi="Calibri"/>
          <w:b w:val="false"/>
          <w:bCs w:val="false"/>
          <w:i w:val="false"/>
          <w:iCs w:val="false"/>
          <w:color w:val="1A1A1A"/>
          <w:sz w:val="22"/>
          <w:szCs w:val="22"/>
        </w:rPr>
        <w:t xml:space="preserve">Nominations Committee Paper — Q1 2026 (Chair: Bram Mwalo)</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B4. </w:t>
      </w:r>
      <w:r>
        <w:rPr>
          <w:rFonts w:ascii="Calibri" w:cs="Calibri" w:eastAsia="Calibri" w:hAnsi="Calibri"/>
          <w:b w:val="false"/>
          <w:bCs w:val="false"/>
          <w:i w:val="false"/>
          <w:iCs w:val="false"/>
          <w:color w:val="1A1A1A"/>
          <w:sz w:val="22"/>
          <w:szCs w:val="22"/>
        </w:rPr>
        <w:t xml:space="preserve">Audit Committee Minutes — 22 April 2026</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  Document B5. </w:t>
      </w:r>
      <w:r>
        <w:rPr>
          <w:rFonts w:ascii="Calibri" w:cs="Calibri" w:eastAsia="Calibri" w:hAnsi="Calibri"/>
          <w:b w:val="false"/>
          <w:bCs w:val="false"/>
          <w:i w:val="false"/>
          <w:iCs w:val="false"/>
          <w:color w:val="1A1A1A"/>
          <w:sz w:val="22"/>
          <w:szCs w:val="22"/>
        </w:rPr>
        <w:t xml:space="preserve">Board Meeting Minutes — 30 April 2026</w:t>
      </w:r>
    </w:p>
    <w:p>
      <w:r>
        <w:br w:type="page"/>
      </w:r>
    </w:p>
    <w:p>
      <w:pPr>
        <w:spacing w:after="2000"/>
      </w:pPr>
      <w:r>
        <w:t xml:space="preserve"/>
      </w:r>
    </w:p>
    <w:p>
      <w:pPr>
        <w:spacing w:after="240"/>
        <w:jc w:val="center"/>
      </w:pPr>
      <w:r>
        <w:rPr>
          <w:rFonts w:ascii="Georgia" w:cs="Georgia" w:eastAsia="Georgia" w:hAnsi="Georgia"/>
          <w:b/>
          <w:bCs/>
          <w:color w:val="1A1A1A"/>
          <w:spacing w:val="80"/>
          <w:sz w:val="56"/>
          <w:szCs w:val="56"/>
        </w:rPr>
        <w:t xml:space="preserve">SECTION A</w:t>
      </w:r>
    </w:p>
    <w:p>
      <w:pPr>
        <w:spacing w:after="600"/>
        <w:jc w:val="center"/>
      </w:pPr>
      <w:r>
        <w:rPr>
          <w:rFonts w:ascii="Georgia" w:cs="Georgia" w:eastAsia="Georgia" w:hAnsi="Georgia"/>
          <w:i/>
          <w:iCs/>
          <w:color w:val="2B2B2A"/>
          <w:sz w:val="24"/>
          <w:szCs w:val="24"/>
        </w:rPr>
        <w:t xml:space="preserve">Afya Health Group</w:t>
      </w:r>
    </w:p>
    <w:p>
      <w:pPr>
        <w:pStyle w:val="Heading1"/>
        <w:spacing w:after="220" w:before="440"/>
      </w:pPr>
      <w:r>
        <w:rPr>
          <w:rFonts w:ascii="Georgia" w:cs="Georgia" w:eastAsia="Georgia" w:hAnsi="Georgia"/>
          <w:b/>
          <w:bCs/>
          <w:color w:val="1A1A1A"/>
          <w:sz w:val="34"/>
          <w:szCs w:val="34"/>
        </w:rPr>
        <w:t xml:space="preserve">About Afya Health Group</w:t>
      </w:r>
    </w:p>
    <w:p>
      <w:pPr>
        <w:spacing w:after="240" w:before="0" w:line="320"/>
        <w:jc w:val="left"/>
      </w:pPr>
      <w:r>
        <w:rPr>
          <w:rFonts w:ascii="Calibri" w:cs="Calibri" w:eastAsia="Calibri" w:hAnsi="Calibri"/>
          <w:b w:val="false"/>
          <w:bCs w:val="false"/>
          <w:i w:val="false"/>
          <w:iCs w:val="false"/>
          <w:color w:val="1A1A1A"/>
          <w:sz w:val="22"/>
          <w:szCs w:val="22"/>
        </w:rPr>
        <w:t xml:space="preserve">Afya Health Group is a pre-IPO healthcare group operating hospitals and diagnostics across Kenya, Uganda, and Tanzania. Headquartered in Nairobi. IPO targeted for H2 2027. The Board comprises the CEO, two founder directors, four independent directors (including Bram Mwalo), and a Chair. Three Board committees: Risk (Chair: Margaret Owino, Members: Bram Mwalo, John Kibaki); Audit (Chair: Joyce Kariuki); Nominations &amp; Governance (Chair: Patrick Mwangi).</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A1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Q1 2026 Board Pack — Afya Health Group</w:t>
      </w:r>
    </w:p>
    <w:p>
      <w:pPr>
        <w:spacing w:after="240"/>
      </w:pPr>
      <w:r>
        <w:rPr>
          <w:rFonts w:ascii="Georgia" w:cs="Georgia" w:eastAsia="Georgia" w:hAnsi="Georgia"/>
          <w:i/>
          <w:iCs/>
          <w:color w:val="2B2B2A"/>
          <w:sz w:val="26"/>
          <w:szCs w:val="26"/>
        </w:rPr>
        <w:t xml:space="preserve">For the Board meeting of 25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Q1 2026 (January – March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Submitted by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Patricia Wanjiru, Chief Executive Officer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Currency</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KES Millions throughout</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submitted</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18 April 2026</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CEO's report</w:t>
      </w:r>
    </w:p>
    <w:p>
      <w:pPr>
        <w:spacing w:after="140" w:before="0" w:line="320"/>
        <w:jc w:val="left"/>
      </w:pPr>
      <w:r>
        <w:rPr>
          <w:rFonts w:ascii="Calibri" w:cs="Calibri" w:eastAsia="Calibri" w:hAnsi="Calibri"/>
          <w:b w:val="false"/>
          <w:bCs w:val="false"/>
          <w:i w:val="false"/>
          <w:iCs w:val="false"/>
          <w:color w:val="1A1A1A"/>
          <w:sz w:val="22"/>
          <w:szCs w:val="22"/>
        </w:rPr>
        <w:t xml:space="preserve">Q1 2026 was a quarter of operational strength alongside emerging strategic challenges. We closed the quarter with EBITDA of KES 230 million on revenue of KES 1.30 billion — EBITDA margin of 17.7%, our strongest quarterly margin in the past two years. Patient volumes grew across all three countries, with bed occupancy reaching 84% on average and Tanzania operations delivering ahead of plan.</w:t>
      </w:r>
    </w:p>
    <w:p>
      <w:pPr>
        <w:spacing w:after="140" w:before="0" w:line="320"/>
        <w:jc w:val="left"/>
      </w:pPr>
      <w:r>
        <w:rPr>
          <w:rFonts w:ascii="Calibri" w:cs="Calibri" w:eastAsia="Calibri" w:hAnsi="Calibri"/>
          <w:b w:val="false"/>
          <w:bCs w:val="false"/>
          <w:i w:val="false"/>
          <w:iCs w:val="false"/>
          <w:color w:val="1A1A1A"/>
          <w:sz w:val="22"/>
          <w:szCs w:val="22"/>
        </w:rPr>
        <w:t xml:space="preserve">Three matters require Board attention. First, the Tanzania expansion capital plan: management has finalised a USD 80 million raise to fund the Mwanza and Arusha hospitals; the structuring is presented separately at this meeting. Second, an adverse clinical event review covering February's three sentinel events; the Quality and Clinical Governance Committee has reported separately and Risk Committee has reviewed implications. Third, the cyber and IT risk posture — attack volumes have grown materially and the patient data exposure events of January and February warrant Board-level discussion.</w:t>
      </w:r>
    </w:p>
    <w:p>
      <w:pPr>
        <w:spacing w:after="140" w:before="0" w:line="320"/>
        <w:jc w:val="left"/>
      </w:pPr>
      <w:r>
        <w:rPr>
          <w:rFonts w:ascii="Calibri" w:cs="Calibri" w:eastAsia="Calibri" w:hAnsi="Calibri"/>
          <w:b w:val="false"/>
          <w:bCs w:val="false"/>
          <w:i w:val="false"/>
          <w:iCs w:val="false"/>
          <w:color w:val="1A1A1A"/>
          <w:sz w:val="22"/>
          <w:szCs w:val="22"/>
        </w:rPr>
        <w:t xml:space="preserve">The IPO readiness work continues. The H2 2027 timeline remains achievable. Specific Q1 milestones: clinical governance maturation (in progress), payer mix diversification (achieved — top three payers reduced from 67% to 61%), audit and reporting infrastructure refresh (in progress).</w:t>
      </w:r>
    </w:p>
    <w:p>
      <w:pPr>
        <w:pStyle w:val="Heading2"/>
        <w:spacing w:after="160" w:before="300"/>
      </w:pPr>
      <w:r>
        <w:rPr>
          <w:rFonts w:ascii="Georgia" w:cs="Georgia" w:eastAsia="Georgia" w:hAnsi="Georgia"/>
          <w:b/>
          <w:bCs/>
          <w:color w:val="1A1A1A"/>
          <w:sz w:val="25"/>
          <w:szCs w:val="25"/>
        </w:rPr>
        <w:t xml:space="preserve">Financial performance — Q1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2026</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2026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Revenue (KES m)</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1,305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1,260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+3.6%</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1,150</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EBITDA (KES 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231</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215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+7.4%</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192</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EBITDA margin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17.7%</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17.1%</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16.7%</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Patient encounters (000s)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129.8</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125.0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+3.8%</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118.5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Bed occupancy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83.3%</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82.0%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79.5%</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Average length of stay (days)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4.2</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4.4</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Cost per encounter (KES)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8,290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8,400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8,150</w:t>
            </w:r>
          </w:p>
        </w:tc>
      </w:tr>
    </w:tbl>
    <w:p>
      <w:pPr>
        <w:spacing w:after="18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Q1 financial performance was ahead of plan across all key metrics. Revenue growth of 13.5% year-on-year reflects both volume growth and improved payer mix. EBITDA margin expansion of 100 basis points year-on-year reflects operating leverage as bed occupancy and patient volumes scaled.</w:t>
      </w:r>
    </w:p>
    <w:p>
      <w:pPr>
        <w:pStyle w:val="Heading2"/>
        <w:spacing w:after="160" w:before="300"/>
      </w:pPr>
      <w:r>
        <w:rPr>
          <w:rFonts w:ascii="Georgia" w:cs="Georgia" w:eastAsia="Georgia" w:hAnsi="Georgia"/>
          <w:b/>
          <w:bCs/>
          <w:color w:val="1A1A1A"/>
          <w:sz w:val="25"/>
          <w:szCs w:val="25"/>
        </w:rPr>
        <w:t xml:space="preserve">Operational performance</w:t>
      </w:r>
    </w:p>
    <w:p>
      <w:pPr>
        <w:pStyle w:val="Heading3"/>
        <w:spacing w:after="120" w:before="220"/>
      </w:pPr>
      <w:r>
        <w:rPr>
          <w:rFonts w:ascii="Calibri" w:cs="Calibri" w:eastAsia="Calibri" w:hAnsi="Calibri"/>
          <w:b/>
          <w:bCs/>
          <w:color w:val="1A1A1A"/>
          <w:sz w:val="22"/>
          <w:szCs w:val="22"/>
        </w:rPr>
        <w:t xml:space="preserve">Patient volumes and capacity</w:t>
      </w:r>
    </w:p>
    <w:p>
      <w:pPr>
        <w:spacing w:after="140" w:before="0" w:line="320"/>
        <w:jc w:val="left"/>
      </w:pPr>
      <w:r>
        <w:rPr>
          <w:rFonts w:ascii="Calibri" w:cs="Calibri" w:eastAsia="Calibri" w:hAnsi="Calibri"/>
          <w:b w:val="false"/>
          <w:bCs w:val="false"/>
          <w:i w:val="false"/>
          <w:iCs w:val="false"/>
          <w:color w:val="1A1A1A"/>
          <w:sz w:val="22"/>
          <w:szCs w:val="22"/>
        </w:rPr>
        <w:t xml:space="preserve">Patient encounters grew to 129,800 in Q1 (up 9.5% year-on-year). Distribution: Kenya 78%, Uganda 14%, Tanzania 8%. Bed occupancy averaged 83.3% across the quarter (84-85% in March). Average length of stay continued to decline as clinical pathway optimisation initiatives matured.</w:t>
      </w:r>
    </w:p>
    <w:p>
      <w:pPr>
        <w:pStyle w:val="Heading3"/>
        <w:spacing w:after="120" w:before="220"/>
      </w:pPr>
      <w:r>
        <w:rPr>
          <w:rFonts w:ascii="Calibri" w:cs="Calibri" w:eastAsia="Calibri" w:hAnsi="Calibri"/>
          <w:b/>
          <w:bCs/>
          <w:color w:val="1A1A1A"/>
          <w:sz w:val="22"/>
          <w:szCs w:val="22"/>
        </w:rPr>
        <w:t xml:space="preserve">Quality and safety</w:t>
      </w:r>
    </w:p>
    <w:p>
      <w:pPr>
        <w:spacing w:after="140" w:before="0" w:line="320"/>
        <w:jc w:val="left"/>
      </w:pPr>
      <w:r>
        <w:rPr>
          <w:rFonts w:ascii="Calibri" w:cs="Calibri" w:eastAsia="Calibri" w:hAnsi="Calibri"/>
          <w:b w:val="false"/>
          <w:bCs w:val="false"/>
          <w:i w:val="false"/>
          <w:iCs w:val="false"/>
          <w:color w:val="1A1A1A"/>
          <w:sz w:val="22"/>
          <w:szCs w:val="22"/>
        </w:rPr>
        <w:t xml:space="preserve">Hospital-acquired infection rate at 3.7 per 1,000 patient-days (versus quarter target of 4.0). Three adverse clinical events were notified during the quarter, all in February, all under Quality and Clinical Governance Committee review. The events triggered a sentinel event review process; preliminary findings indicate process variations rather than systemic clinical practice failures. Detailed Quality Committee paper presented separately.</w:t>
      </w:r>
    </w:p>
    <w:p>
      <w:pPr>
        <w:spacing w:after="140" w:before="0" w:line="320"/>
        <w:jc w:val="left"/>
      </w:pPr>
      <w:r>
        <w:rPr>
          <w:rFonts w:ascii="Calibri" w:cs="Calibri" w:eastAsia="Calibri" w:hAnsi="Calibri"/>
          <w:b w:val="false"/>
          <w:bCs w:val="false"/>
          <w:i w:val="false"/>
          <w:iCs w:val="false"/>
          <w:color w:val="1A1A1A"/>
          <w:sz w:val="22"/>
          <w:szCs w:val="22"/>
        </w:rPr>
        <w:t xml:space="preserve">Patient NPS at 64 across the quarter, with March reading at 66. Both quarter average and March reading are at the upper end of recent trajectory — patient satisfaction has recovered following the Q4 2025 dip.</w:t>
      </w:r>
    </w:p>
    <w:p>
      <w:pPr>
        <w:pStyle w:val="Heading3"/>
        <w:spacing w:after="120" w:before="220"/>
      </w:pPr>
      <w:r>
        <w:rPr>
          <w:rFonts w:ascii="Calibri" w:cs="Calibri" w:eastAsia="Calibri" w:hAnsi="Calibri"/>
          <w:b/>
          <w:bCs/>
          <w:color w:val="1A1A1A"/>
          <w:sz w:val="22"/>
          <w:szCs w:val="22"/>
        </w:rPr>
        <w:t xml:space="preserve">Payer mix and revenue diversification</w:t>
      </w:r>
    </w:p>
    <w:p>
      <w:pPr>
        <w:spacing w:after="140" w:before="0" w:line="320"/>
        <w:jc w:val="left"/>
      </w:pPr>
      <w:r>
        <w:rPr>
          <w:rFonts w:ascii="Calibri" w:cs="Calibri" w:eastAsia="Calibri" w:hAnsi="Calibri"/>
          <w:b w:val="false"/>
          <w:bCs w:val="false"/>
          <w:i w:val="false"/>
          <w:iCs w:val="false"/>
          <w:color w:val="1A1A1A"/>
          <w:sz w:val="22"/>
          <w:szCs w:val="22"/>
        </w:rPr>
        <w:t xml:space="preserve">Top three payer concentration reduced to 61% (from 67% one year ago). Achieved through: growth of self-pay segment from 11% to 14% of revenue; addition of two new corporate insurance partners; reduction in dependence on the largest single payer (NHIF) from 31% to 26%.</w:t>
      </w:r>
    </w:p>
    <w:p>
      <w:pPr>
        <w:pStyle w:val="Heading2"/>
        <w:spacing w:after="160" w:before="300"/>
      </w:pPr>
      <w:r>
        <w:rPr>
          <w:rFonts w:ascii="Georgia" w:cs="Georgia" w:eastAsia="Georgia" w:hAnsi="Georgia"/>
          <w:b/>
          <w:bCs/>
          <w:color w:val="1A1A1A"/>
          <w:sz w:val="25"/>
          <w:szCs w:val="25"/>
        </w:rPr>
        <w:t xml:space="preserve">Tanzania expansion capital plan</w:t>
      </w:r>
    </w:p>
    <w:p>
      <w:pPr>
        <w:spacing w:after="140" w:before="0" w:line="320"/>
        <w:jc w:val="left"/>
      </w:pPr>
      <w:r>
        <w:rPr>
          <w:rFonts w:ascii="Calibri" w:cs="Calibri" w:eastAsia="Calibri" w:hAnsi="Calibri"/>
          <w:b w:val="false"/>
          <w:bCs w:val="false"/>
          <w:i w:val="false"/>
          <w:iCs w:val="false"/>
          <w:color w:val="1A1A1A"/>
          <w:sz w:val="22"/>
          <w:szCs w:val="22"/>
        </w:rPr>
        <w:t xml:space="preserve">Management presents the Tanzania expansion capital plan for Board approval. Total raise: USD 80 million. Use of proceeds: Mwanza Hospital (USD 35m), Arusha Hospital (USD 28m), shared infrastructure and working capital (USD 17m). Structure: USD 50m equity from existing institutional investors, USD 30m structured debt from a consortium of regional development banks.</w:t>
      </w:r>
    </w:p>
    <w:p>
      <w:pPr>
        <w:spacing w:after="140" w:before="0" w:line="320"/>
        <w:jc w:val="left"/>
      </w:pPr>
      <w:r>
        <w:rPr>
          <w:rFonts w:ascii="Calibri" w:cs="Calibri" w:eastAsia="Calibri" w:hAnsi="Calibri"/>
          <w:b w:val="false"/>
          <w:bCs w:val="false"/>
          <w:i w:val="false"/>
          <w:iCs w:val="false"/>
          <w:color w:val="1A1A1A"/>
          <w:sz w:val="22"/>
          <w:szCs w:val="22"/>
        </w:rPr>
        <w:t xml:space="preserve">Indicative terms have been agreed with the lead institutional investor and the lead lender. Closing target: 30 June 2026. Detailed structuring paper presented separately.</w:t>
      </w:r>
    </w:p>
    <w:p>
      <w:pPr>
        <w:pStyle w:val="Heading2"/>
        <w:spacing w:after="160" w:before="300"/>
      </w:pPr>
      <w:r>
        <w:rPr>
          <w:rFonts w:ascii="Georgia" w:cs="Georgia" w:eastAsia="Georgia" w:hAnsi="Georgia"/>
          <w:b/>
          <w:bCs/>
          <w:color w:val="1A1A1A"/>
          <w:sz w:val="25"/>
          <w:szCs w:val="25"/>
        </w:rPr>
        <w:t xml:space="preserve">Risk and clinical governance</w:t>
      </w:r>
    </w:p>
    <w:p>
      <w:pPr>
        <w:pStyle w:val="Heading3"/>
        <w:spacing w:after="120" w:before="220"/>
      </w:pPr>
      <w:r>
        <w:rPr>
          <w:rFonts w:ascii="Calibri" w:cs="Calibri" w:eastAsia="Calibri" w:hAnsi="Calibri"/>
          <w:b/>
          <w:bCs/>
          <w:color w:val="1A1A1A"/>
          <w:sz w:val="22"/>
          <w:szCs w:val="22"/>
        </w:rPr>
        <w:t xml:space="preserve">Adverse clinical event review</w:t>
      </w:r>
    </w:p>
    <w:p>
      <w:pPr>
        <w:spacing w:after="140" w:before="0" w:line="320"/>
        <w:jc w:val="left"/>
      </w:pPr>
      <w:r>
        <w:rPr>
          <w:rFonts w:ascii="Calibri" w:cs="Calibri" w:eastAsia="Calibri" w:hAnsi="Calibri"/>
          <w:b w:val="false"/>
          <w:bCs w:val="false"/>
          <w:i w:val="false"/>
          <w:iCs w:val="false"/>
          <w:color w:val="1A1A1A"/>
          <w:sz w:val="22"/>
          <w:szCs w:val="22"/>
        </w:rPr>
        <w:t xml:space="preserve">Three sentinel events in February: surgical complication at Nairobi flagship hospital (patient recovered, root cause review identified procedural variation); medication error at Kampala diagnostic centre (no patient harm, prescribing system review identified workflow gap); patient identification error at Mombasa hospital (caught before treatment, identification verification process strengthened).</w:t>
      </w:r>
    </w:p>
    <w:p>
      <w:pPr>
        <w:spacing w:after="140" w:before="0" w:line="320"/>
        <w:jc w:val="left"/>
      </w:pPr>
      <w:r>
        <w:rPr>
          <w:rFonts w:ascii="Calibri" w:cs="Calibri" w:eastAsia="Calibri" w:hAnsi="Calibri"/>
          <w:b w:val="false"/>
          <w:bCs w:val="false"/>
          <w:i w:val="false"/>
          <w:iCs w:val="false"/>
          <w:color w:val="1A1A1A"/>
          <w:sz w:val="22"/>
          <w:szCs w:val="22"/>
        </w:rPr>
        <w:t xml:space="preserve">All three events have been investigated through normal sentinel event review processes. Quality and Clinical Governance Committee paper provides full detail.</w:t>
      </w:r>
    </w:p>
    <w:p>
      <w:pPr>
        <w:pStyle w:val="Heading3"/>
        <w:spacing w:after="120" w:before="220"/>
      </w:pPr>
      <w:r>
        <w:rPr>
          <w:rFonts w:ascii="Calibri" w:cs="Calibri" w:eastAsia="Calibri" w:hAnsi="Calibri"/>
          <w:b/>
          <w:bCs/>
          <w:color w:val="1A1A1A"/>
          <w:sz w:val="22"/>
          <w:szCs w:val="22"/>
        </w:rPr>
        <w:t xml:space="preserve">Cyber and IT risk</w:t>
      </w:r>
    </w:p>
    <w:p>
      <w:pPr>
        <w:spacing w:after="140" w:before="0" w:line="320"/>
        <w:jc w:val="left"/>
      </w:pPr>
      <w:r>
        <w:rPr>
          <w:rFonts w:ascii="Calibri" w:cs="Calibri" w:eastAsia="Calibri" w:hAnsi="Calibri"/>
          <w:b w:val="false"/>
          <w:bCs w:val="false"/>
          <w:i w:val="false"/>
          <w:iCs w:val="false"/>
          <w:color w:val="1A1A1A"/>
          <w:sz w:val="22"/>
          <w:szCs w:val="22"/>
        </w:rPr>
        <w:t xml:space="preserve">Cyber attempts on clinical systems grew to 248 monthly in March (versus 145 in January and 102 in November 2025). Two cyber events with patient data exposure occurred in Q1 — both contained at the perimeter of clinical record systems but flagging that defensive posture is being tested at increasing volume.</w:t>
      </w:r>
    </w:p>
    <w:p>
      <w:pPr>
        <w:spacing w:after="140" w:before="0" w:line="320"/>
        <w:jc w:val="left"/>
      </w:pPr>
      <w:r>
        <w:rPr>
          <w:rFonts w:ascii="Calibri" w:cs="Calibri" w:eastAsia="Calibri" w:hAnsi="Calibri"/>
          <w:b w:val="false"/>
          <w:bCs w:val="false"/>
          <w:i w:val="false"/>
          <w:iCs w:val="false"/>
          <w:color w:val="1A1A1A"/>
          <w:sz w:val="22"/>
          <w:szCs w:val="22"/>
        </w:rPr>
        <w:t xml:space="preserve">The Risk Committee has reviewed and recommends: (1) cyber tooling investment proposal to be developed by management for Q2 Board consideration; (2) elevation of cyber posture to a standing Risk Committee agenda item; (3) annual cyber tabletop exercise involving the executive team and Board.</w:t>
      </w:r>
    </w:p>
    <w:p>
      <w:pPr>
        <w:pStyle w:val="Heading2"/>
        <w:spacing w:after="160" w:before="300"/>
      </w:pPr>
      <w:r>
        <w:rPr>
          <w:rFonts w:ascii="Georgia" w:cs="Georgia" w:eastAsia="Georgia" w:hAnsi="Georgia"/>
          <w:b/>
          <w:bCs/>
          <w:color w:val="1A1A1A"/>
          <w:sz w:val="25"/>
          <w:szCs w:val="25"/>
        </w:rPr>
        <w:t xml:space="preserve">IPO readiness</w:t>
      </w:r>
    </w:p>
    <w:p>
      <w:pPr>
        <w:spacing w:after="140" w:before="0" w:line="320"/>
        <w:jc w:val="left"/>
      </w:pPr>
      <w:r>
        <w:rPr>
          <w:rFonts w:ascii="Calibri" w:cs="Calibri" w:eastAsia="Calibri" w:hAnsi="Calibri"/>
          <w:b w:val="false"/>
          <w:bCs w:val="false"/>
          <w:i w:val="false"/>
          <w:iCs w:val="false"/>
          <w:color w:val="1A1A1A"/>
          <w:sz w:val="22"/>
          <w:szCs w:val="22"/>
        </w:rPr>
        <w:t xml:space="preserve">H2 2027 IPO timeline remains achievable. Q1 milestones: clinical governance maturation (Risk Committee endorsement of revised governance framework — see Risk Committee paper); payer mix diversification (achieved — top three payer concentration at 61%); audit infrastructure refresh (in progress; PwC engaged as IPO auditor in February).</w:t>
      </w:r>
    </w:p>
    <w:p>
      <w:pPr>
        <w:spacing w:after="140" w:before="0" w:line="320"/>
        <w:jc w:val="left"/>
      </w:pPr>
      <w:r>
        <w:rPr>
          <w:rFonts w:ascii="Calibri" w:cs="Calibri" w:eastAsia="Calibri" w:hAnsi="Calibri"/>
          <w:b w:val="false"/>
          <w:bCs w:val="false"/>
          <w:i w:val="false"/>
          <w:iCs w:val="false"/>
          <w:color w:val="1A1A1A"/>
          <w:sz w:val="22"/>
          <w:szCs w:val="22"/>
        </w:rPr>
        <w:t xml:space="preserve">Forward Q2 milestones: Tanzania expansion capital plan closure (June target); financial reporting refresh to IPO standards (June target); first formal IPO readiness review by lead financial advisor (Standard Bank, scheduled for July).</w:t>
      </w:r>
    </w:p>
    <w:p>
      <w:pPr>
        <w:pStyle w:val="Heading2"/>
        <w:spacing w:after="160" w:before="300"/>
      </w:pPr>
      <w:r>
        <w:rPr>
          <w:rFonts w:ascii="Georgia" w:cs="Georgia" w:eastAsia="Georgia" w:hAnsi="Georgia"/>
          <w:b/>
          <w:bCs/>
          <w:color w:val="1A1A1A"/>
          <w:sz w:val="25"/>
          <w:szCs w:val="25"/>
        </w:rPr>
        <w:t xml:space="preserve">Decisions requested from the Board</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Approve </w:t>
      </w:r>
      <w:r>
        <w:rPr>
          <w:rFonts w:ascii="Calibri" w:cs="Calibri" w:eastAsia="Calibri" w:hAnsi="Calibri"/>
          <w:b w:val="false"/>
          <w:bCs w:val="false"/>
          <w:i w:val="false"/>
          <w:iCs w:val="false"/>
          <w:color w:val="1A1A1A"/>
          <w:sz w:val="22"/>
          <w:szCs w:val="22"/>
        </w:rPr>
        <w:t xml:space="preserve">the Tanzania expansion capital plan and the structuring of the USD 80 million raise.</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Receive </w:t>
      </w:r>
      <w:r>
        <w:rPr>
          <w:rFonts w:ascii="Calibri" w:cs="Calibri" w:eastAsia="Calibri" w:hAnsi="Calibri"/>
          <w:b w:val="false"/>
          <w:bCs w:val="false"/>
          <w:i w:val="false"/>
          <w:iCs w:val="false"/>
          <w:color w:val="1A1A1A"/>
          <w:sz w:val="22"/>
          <w:szCs w:val="22"/>
        </w:rPr>
        <w:t xml:space="preserve">the Quality and Clinical Governance Committee report on the three Q1 sentinel events.</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Endorse </w:t>
      </w:r>
      <w:r>
        <w:rPr>
          <w:rFonts w:ascii="Calibri" w:cs="Calibri" w:eastAsia="Calibri" w:hAnsi="Calibri"/>
          <w:b w:val="false"/>
          <w:bCs w:val="false"/>
          <w:i w:val="false"/>
          <w:iCs w:val="false"/>
          <w:color w:val="1A1A1A"/>
          <w:sz w:val="22"/>
          <w:szCs w:val="22"/>
        </w:rPr>
        <w:t xml:space="preserve">the Risk Committee's recommendations on cyber posture (development of cyber tooling proposal, standing agenda item, annual tabletop exercise).</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Note </w:t>
      </w:r>
      <w:r>
        <w:rPr>
          <w:rFonts w:ascii="Calibri" w:cs="Calibri" w:eastAsia="Calibri" w:hAnsi="Calibri"/>
          <w:b w:val="false"/>
          <w:bCs w:val="false"/>
          <w:i w:val="false"/>
          <w:iCs w:val="false"/>
          <w:color w:val="1A1A1A"/>
          <w:sz w:val="22"/>
          <w:szCs w:val="22"/>
        </w:rPr>
        <w:t xml:space="preserve">Q1 financial performance ahead of plan and operational performance.</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Note </w:t>
      </w:r>
      <w:r>
        <w:rPr>
          <w:rFonts w:ascii="Calibri" w:cs="Calibri" w:eastAsia="Calibri" w:hAnsi="Calibri"/>
          <w:b w:val="false"/>
          <w:bCs w:val="false"/>
          <w:i w:val="false"/>
          <w:iCs w:val="false"/>
          <w:color w:val="1A1A1A"/>
          <w:sz w:val="22"/>
          <w:szCs w:val="22"/>
        </w:rPr>
        <w:t xml:space="preserve">IPO readiness milestones progress.</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A2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Risk Committee Paper — Q1 2026</w:t>
      </w:r>
    </w:p>
    <w:p>
      <w:pPr>
        <w:spacing w:after="240"/>
      </w:pPr>
      <w:r>
        <w:rPr>
          <w:rFonts w:ascii="Georgia" w:cs="Georgia" w:eastAsia="Georgia" w:hAnsi="Georgia"/>
          <w:i/>
          <w:iCs/>
          <w:color w:val="2B2B2A"/>
          <w:sz w:val="26"/>
          <w:szCs w:val="26"/>
        </w:rPr>
        <w:t xml:space="preserve">For the Risk Committee meeting of 18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Meeting 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18 April 2026, 14:00 — 17:00</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Margaret Owino (Independent Director, Risk Committee Chair)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Members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John Kibaki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Management attendees</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Patricia Wanjiru (CEO), James Mwaura (CFO), Dr Susan Achieng (Chief Medical Officer), Daniel Kigen (Head of IT)</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Standing items</w:t>
      </w:r>
    </w:p>
    <w:p>
      <w:pPr>
        <w:pStyle w:val="ListParagraph"/>
        <w:numPr>
          <w:ilvl w:val="0"/>
          <w:numId w:val="2"/>
        </w:numPr>
        <w:spacing w:after="90" w:line="320"/>
      </w:pPr>
      <w:r>
        <w:rPr>
          <w:rFonts w:ascii="Calibri" w:cs="Calibri" w:eastAsia="Calibri" w:hAnsi="Calibri"/>
          <w:color w:val="1A1A1A"/>
          <w:sz w:val="22"/>
          <w:szCs w:val="22"/>
        </w:rPr>
        <w:t xml:space="preserve">Item 1. Cyber and IT risk — Q1 trajectory and proposed response</w:t>
      </w:r>
    </w:p>
    <w:p>
      <w:pPr>
        <w:pStyle w:val="ListParagraph"/>
        <w:numPr>
          <w:ilvl w:val="0"/>
          <w:numId w:val="2"/>
        </w:numPr>
        <w:spacing w:after="90" w:line="320"/>
      </w:pPr>
      <w:r>
        <w:rPr>
          <w:rFonts w:ascii="Calibri" w:cs="Calibri" w:eastAsia="Calibri" w:hAnsi="Calibri"/>
          <w:color w:val="1A1A1A"/>
          <w:sz w:val="22"/>
          <w:szCs w:val="22"/>
        </w:rPr>
        <w:t xml:space="preserve">Item 2. Clinical governance maturation — IPO readiness perspective</w:t>
      </w:r>
    </w:p>
    <w:p>
      <w:pPr>
        <w:pStyle w:val="ListParagraph"/>
        <w:numPr>
          <w:ilvl w:val="0"/>
          <w:numId w:val="2"/>
        </w:numPr>
        <w:spacing w:after="90" w:line="320"/>
      </w:pPr>
      <w:r>
        <w:rPr>
          <w:rFonts w:ascii="Calibri" w:cs="Calibri" w:eastAsia="Calibri" w:hAnsi="Calibri"/>
          <w:color w:val="1A1A1A"/>
          <w:sz w:val="22"/>
          <w:szCs w:val="22"/>
        </w:rPr>
        <w:t xml:space="preserve">Item 3. Tanzania expansion — risk profile of capital plan and operational scaling</w:t>
      </w:r>
    </w:p>
    <w:p>
      <w:pPr>
        <w:pStyle w:val="ListParagraph"/>
        <w:numPr>
          <w:ilvl w:val="0"/>
          <w:numId w:val="2"/>
        </w:numPr>
        <w:spacing w:after="90" w:line="320"/>
      </w:pPr>
      <w:r>
        <w:rPr>
          <w:rFonts w:ascii="Calibri" w:cs="Calibri" w:eastAsia="Calibri" w:hAnsi="Calibri"/>
          <w:color w:val="1A1A1A"/>
          <w:sz w:val="22"/>
          <w:szCs w:val="22"/>
        </w:rPr>
        <w:t xml:space="preserve">Item 4. Sentinel event review — risk implications of three Q1 events</w:t>
      </w:r>
    </w:p>
    <w:p>
      <w:pPr>
        <w:pStyle w:val="ListParagraph"/>
        <w:numPr>
          <w:ilvl w:val="0"/>
          <w:numId w:val="2"/>
        </w:numPr>
        <w:spacing w:after="90" w:line="320"/>
      </w:pPr>
      <w:r>
        <w:rPr>
          <w:rFonts w:ascii="Calibri" w:cs="Calibri" w:eastAsia="Calibri" w:hAnsi="Calibri"/>
          <w:color w:val="1A1A1A"/>
          <w:sz w:val="22"/>
          <w:szCs w:val="22"/>
        </w:rPr>
        <w:t xml:space="preserve">Item 5. Insurance programme — Q1 review and renewal positioning</w:t>
      </w:r>
    </w:p>
    <w:p>
      <w:pPr>
        <w:pStyle w:val="Heading2"/>
        <w:spacing w:after="160" w:before="300"/>
      </w:pPr>
      <w:r>
        <w:rPr>
          <w:rFonts w:ascii="Georgia" w:cs="Georgia" w:eastAsia="Georgia" w:hAnsi="Georgia"/>
          <w:b/>
          <w:bCs/>
          <w:color w:val="1A1A1A"/>
          <w:sz w:val="25"/>
          <w:szCs w:val="25"/>
        </w:rPr>
        <w:t xml:space="preserve">Item 1 — Cyber and IT risk</w:t>
      </w:r>
    </w:p>
    <w:p>
      <w:pPr>
        <w:spacing w:after="140" w:before="0" w:line="320"/>
        <w:jc w:val="left"/>
      </w:pPr>
      <w:r>
        <w:rPr>
          <w:rFonts w:ascii="Calibri" w:cs="Calibri" w:eastAsia="Calibri" w:hAnsi="Calibri"/>
          <w:b w:val="false"/>
          <w:bCs w:val="false"/>
          <w:i w:val="false"/>
          <w:iCs w:val="false"/>
          <w:color w:val="1A1A1A"/>
          <w:sz w:val="22"/>
          <w:szCs w:val="22"/>
        </w:rPr>
        <w:t xml:space="preserve">Cyber attempts on clinical systems grew from 102 monthly in November 2025 to 248 in March 2026 — a 2.4x increase in five months. Two cyber events with patient data exposure occurred in Q1: one phishing-driven account compromise at the Nairobi corporate office (no clinical record exposure; HR records exposed for two staff), and one attempted ransomware deployment contained at the network perimeter.</w:t>
      </w:r>
    </w:p>
    <w:p>
      <w:pPr>
        <w:spacing w:after="140" w:before="0" w:line="320"/>
        <w:jc w:val="left"/>
      </w:pPr>
      <w:r>
        <w:rPr>
          <w:rFonts w:ascii="Calibri" w:cs="Calibri" w:eastAsia="Calibri" w:hAnsi="Calibri"/>
          <w:b w:val="false"/>
          <w:bCs w:val="false"/>
          <w:i w:val="false"/>
          <w:iCs w:val="false"/>
          <w:color w:val="1A1A1A"/>
          <w:sz w:val="22"/>
          <w:szCs w:val="22"/>
        </w:rPr>
        <w:t xml:space="preserve">The growth in attack volume is consistent with sector-agnostic threat acceleration affecting healthcare organisations across the region. The events of Q1 demonstrate that defensive posture is being tested but is currently functional. The forward concern: continued attack volume growth will eventually find a control gap unless tooling investment is sequenced ahead of threat acceleration rather than in response to events.</w:t>
      </w:r>
    </w:p>
    <w:p>
      <w:pPr>
        <w:pStyle w:val="Heading3"/>
        <w:spacing w:after="120" w:before="220"/>
      </w:pPr>
      <w:r>
        <w:rPr>
          <w:rFonts w:ascii="Calibri" w:cs="Calibri" w:eastAsia="Calibri" w:hAnsi="Calibri"/>
          <w:b/>
          <w:bCs/>
          <w:color w:val="1A1A1A"/>
          <w:sz w:val="22"/>
          <w:szCs w:val="22"/>
        </w:rPr>
        <w:t xml:space="preserve">Risk Committee recommendation</w:t>
      </w:r>
    </w:p>
    <w:p>
      <w:pPr>
        <w:pStyle w:val="ListParagraph"/>
        <w:numPr>
          <w:ilvl w:val="0"/>
          <w:numId w:val="2"/>
        </w:numPr>
        <w:spacing w:after="90" w:line="320"/>
      </w:pPr>
      <w:r>
        <w:rPr>
          <w:rFonts w:ascii="Calibri" w:cs="Calibri" w:eastAsia="Calibri" w:hAnsi="Calibri"/>
          <w:color w:val="1A1A1A"/>
          <w:sz w:val="22"/>
          <w:szCs w:val="22"/>
        </w:rPr>
        <w:t xml:space="preserve">Recommend management develop a cyber tooling investment proposal for Q2 Board consideration. Proposed scope: managed detection and response (MDR), patching automation, identity and access management refresh, and clinical system access logging.</w:t>
      </w:r>
    </w:p>
    <w:p>
      <w:pPr>
        <w:pStyle w:val="ListParagraph"/>
        <w:numPr>
          <w:ilvl w:val="0"/>
          <w:numId w:val="2"/>
        </w:numPr>
        <w:spacing w:after="90" w:line="320"/>
      </w:pPr>
      <w:r>
        <w:rPr>
          <w:rFonts w:ascii="Calibri" w:cs="Calibri" w:eastAsia="Calibri" w:hAnsi="Calibri"/>
          <w:color w:val="1A1A1A"/>
          <w:sz w:val="22"/>
          <w:szCs w:val="22"/>
        </w:rPr>
        <w:t xml:space="preserve">Recommend cyber posture be elevated to a standing Risk Committee agenda item with quarterly dashboard reporting.</w:t>
      </w:r>
    </w:p>
    <w:p>
      <w:pPr>
        <w:pStyle w:val="ListParagraph"/>
        <w:numPr>
          <w:ilvl w:val="0"/>
          <w:numId w:val="2"/>
        </w:numPr>
        <w:spacing w:after="90" w:line="320"/>
      </w:pPr>
      <w:r>
        <w:rPr>
          <w:rFonts w:ascii="Calibri" w:cs="Calibri" w:eastAsia="Calibri" w:hAnsi="Calibri"/>
          <w:color w:val="1A1A1A"/>
          <w:sz w:val="22"/>
          <w:szCs w:val="22"/>
        </w:rPr>
        <w:t xml:space="preserve">Recommend an annual cyber tabletop exercise involving the executive team and Board, first exercise scheduled for Q3 2026.</w:t>
      </w:r>
    </w:p>
    <w:p>
      <w:pPr>
        <w:pStyle w:val="Heading2"/>
        <w:spacing w:after="160" w:before="300"/>
      </w:pPr>
      <w:r>
        <w:rPr>
          <w:rFonts w:ascii="Georgia" w:cs="Georgia" w:eastAsia="Georgia" w:hAnsi="Georgia"/>
          <w:b/>
          <w:bCs/>
          <w:color w:val="1A1A1A"/>
          <w:sz w:val="25"/>
          <w:szCs w:val="25"/>
        </w:rPr>
        <w:t xml:space="preserve">Item 2 — Clinical governance maturation</w:t>
      </w:r>
    </w:p>
    <w:p>
      <w:pPr>
        <w:spacing w:after="140" w:before="0" w:line="320"/>
        <w:jc w:val="left"/>
      </w:pPr>
      <w:r>
        <w:rPr>
          <w:rFonts w:ascii="Calibri" w:cs="Calibri" w:eastAsia="Calibri" w:hAnsi="Calibri"/>
          <w:b w:val="false"/>
          <w:bCs w:val="false"/>
          <w:i w:val="false"/>
          <w:iCs w:val="false"/>
          <w:color w:val="1A1A1A"/>
          <w:sz w:val="22"/>
          <w:szCs w:val="22"/>
        </w:rPr>
        <w:t xml:space="preserve">Clinical governance maturation is an IPO readiness milestone. The revised governance framework was endorsed by the Quality and Clinical Governance Committee in March 2026 and is presented to the Risk Committee for risk-perspective review.</w:t>
      </w:r>
    </w:p>
    <w:p>
      <w:pPr>
        <w:spacing w:after="140" w:before="0" w:line="320"/>
        <w:jc w:val="left"/>
      </w:pPr>
      <w:r>
        <w:rPr>
          <w:rFonts w:ascii="Calibri" w:cs="Calibri" w:eastAsia="Calibri" w:hAnsi="Calibri"/>
          <w:b w:val="false"/>
          <w:bCs w:val="false"/>
          <w:i w:val="false"/>
          <w:iCs w:val="false"/>
          <w:color w:val="1A1A1A"/>
          <w:sz w:val="22"/>
          <w:szCs w:val="22"/>
        </w:rPr>
        <w:t xml:space="preserve">Key elements of the revised framework: (1) sentinel event reporting threshold lowered from current threshold to a more conservative threshold aligned with international peer hospitals; (2) clinical risk dashboard introduced for quarterly Board review; (3) external clinical governance review commissioned annually (first review: Q4 2026).</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framework is appropriate. The Committee has one recommendation: the lower sentinel event threshold will likely produce more events being notified — this is the design intent — and the Board should be prepared for higher headline numbers in 2026 versus 2025 without interpreting the change as deteriorating clinical practice. Management to communicate the threshold change clearly in Q2 and Q3 reporting.</w:t>
      </w:r>
    </w:p>
    <w:p>
      <w:pPr>
        <w:pStyle w:val="Heading2"/>
        <w:spacing w:after="160" w:before="300"/>
      </w:pPr>
      <w:r>
        <w:rPr>
          <w:rFonts w:ascii="Georgia" w:cs="Georgia" w:eastAsia="Georgia" w:hAnsi="Georgia"/>
          <w:b/>
          <w:bCs/>
          <w:color w:val="1A1A1A"/>
          <w:sz w:val="25"/>
          <w:szCs w:val="25"/>
        </w:rPr>
        <w:t xml:space="preserve">Item 3 — Tanzania expansion risk profile</w:t>
      </w:r>
    </w:p>
    <w:p>
      <w:pPr>
        <w:spacing w:after="140" w:before="0" w:line="320"/>
        <w:jc w:val="left"/>
      </w:pPr>
      <w:r>
        <w:rPr>
          <w:rFonts w:ascii="Calibri" w:cs="Calibri" w:eastAsia="Calibri" w:hAnsi="Calibri"/>
          <w:b w:val="false"/>
          <w:bCs w:val="false"/>
          <w:i w:val="false"/>
          <w:iCs w:val="false"/>
          <w:color w:val="1A1A1A"/>
          <w:sz w:val="22"/>
          <w:szCs w:val="22"/>
        </w:rPr>
        <w:t xml:space="preserve">The USD 80 million expansion capital plan has been reviewed by the Risk Committee from a risk profile perspective. Key risk considerations:</w:t>
      </w:r>
    </w:p>
    <w:p>
      <w:pPr>
        <w:pStyle w:val="ListParagraph"/>
        <w:numPr>
          <w:ilvl w:val="0"/>
          <w:numId w:val="2"/>
        </w:numPr>
        <w:spacing w:after="90" w:line="320"/>
      </w:pPr>
      <w:r>
        <w:rPr>
          <w:rFonts w:ascii="Calibri" w:cs="Calibri" w:eastAsia="Calibri" w:hAnsi="Calibri"/>
          <w:color w:val="1A1A1A"/>
          <w:sz w:val="22"/>
          <w:szCs w:val="22"/>
        </w:rPr>
        <w:t xml:space="preserve">Country risk: Tanzania operations are 8% of revenue currently; post-expansion they will be approximately 18%. Concentration in a single additional country increases country risk; mitigation through partnerships with established Tanzanian health insurers.</w:t>
      </w:r>
    </w:p>
    <w:p>
      <w:pPr>
        <w:pStyle w:val="ListParagraph"/>
        <w:numPr>
          <w:ilvl w:val="0"/>
          <w:numId w:val="2"/>
        </w:numPr>
        <w:spacing w:after="90" w:line="320"/>
      </w:pPr>
      <w:r>
        <w:rPr>
          <w:rFonts w:ascii="Calibri" w:cs="Calibri" w:eastAsia="Calibri" w:hAnsi="Calibri"/>
          <w:color w:val="1A1A1A"/>
          <w:sz w:val="22"/>
          <w:szCs w:val="22"/>
        </w:rPr>
        <w:t xml:space="preserve">Currency risk: revenue in Tanzanian Shillings, debt denomination USD. Mitigation through partial hedging and natural hedge from the imported equipment costs being USD-denominated.</w:t>
      </w:r>
    </w:p>
    <w:p>
      <w:pPr>
        <w:pStyle w:val="ListParagraph"/>
        <w:numPr>
          <w:ilvl w:val="0"/>
          <w:numId w:val="2"/>
        </w:numPr>
        <w:spacing w:after="90" w:line="320"/>
      </w:pPr>
      <w:r>
        <w:rPr>
          <w:rFonts w:ascii="Calibri" w:cs="Calibri" w:eastAsia="Calibri" w:hAnsi="Calibri"/>
          <w:color w:val="1A1A1A"/>
          <w:sz w:val="22"/>
          <w:szCs w:val="22"/>
        </w:rPr>
        <w:t xml:space="preserve">Operational scaling risk: the two new hospitals will roughly double the Tanzania footprint within 18 months. Operational ramp risk is real; mitigation through experienced Country Director (Tanzania CEO recruited in November 2025) and management transfer programme.</w:t>
      </w:r>
    </w:p>
    <w:p>
      <w:pPr>
        <w:pStyle w:val="ListParagraph"/>
        <w:numPr>
          <w:ilvl w:val="0"/>
          <w:numId w:val="2"/>
        </w:numPr>
        <w:spacing w:after="90" w:line="320"/>
      </w:pPr>
      <w:r>
        <w:rPr>
          <w:rFonts w:ascii="Calibri" w:cs="Calibri" w:eastAsia="Calibri" w:hAnsi="Calibri"/>
          <w:color w:val="1A1A1A"/>
          <w:sz w:val="22"/>
          <w:szCs w:val="22"/>
        </w:rPr>
        <w:t xml:space="preserve">Clinical staffing risk: Tanzania does not have the depth of senior clinical staff available in Kenya. Mitigation through structured rotation programme and selected senior recruitment from Kenya and Uganda.</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risk profile is acceptable. Three recommendations: (1) management establish a Tanzania-specific risk register reviewed at every Risk Committee meeting from Q2; (2) the operational ramp milestones be specifically reported on at every Risk Committee meeting through 2027; (3) currency hedging policy be reviewed and updated to reflect the post-raise USD debt exposure.</w:t>
      </w:r>
    </w:p>
    <w:p>
      <w:pPr>
        <w:pStyle w:val="Heading2"/>
        <w:spacing w:after="160" w:before="300"/>
      </w:pPr>
      <w:r>
        <w:rPr>
          <w:rFonts w:ascii="Georgia" w:cs="Georgia" w:eastAsia="Georgia" w:hAnsi="Georgia"/>
          <w:b/>
          <w:bCs/>
          <w:color w:val="1A1A1A"/>
          <w:sz w:val="25"/>
          <w:szCs w:val="25"/>
        </w:rPr>
        <w:t xml:space="preserve">Item 4 — Sentinel event review</w:t>
      </w:r>
    </w:p>
    <w:p>
      <w:pPr>
        <w:spacing w:after="140" w:before="0" w:line="320"/>
        <w:jc w:val="left"/>
      </w:pPr>
      <w:r>
        <w:rPr>
          <w:rFonts w:ascii="Calibri" w:cs="Calibri" w:eastAsia="Calibri" w:hAnsi="Calibri"/>
          <w:b w:val="false"/>
          <w:bCs w:val="false"/>
          <w:i w:val="false"/>
          <w:iCs w:val="false"/>
          <w:color w:val="1A1A1A"/>
          <w:sz w:val="22"/>
          <w:szCs w:val="22"/>
        </w:rPr>
        <w:t xml:space="preserve">Three sentinel events in February. The Quality and Clinical Governance Committee has conducted detailed review; the Risk Committee reviews from a risk infrastructure perspective.</w:t>
      </w:r>
    </w:p>
    <w:p>
      <w:pPr>
        <w:pStyle w:val="Heading3"/>
        <w:spacing w:after="120" w:before="220"/>
      </w:pPr>
      <w:r>
        <w:rPr>
          <w:rFonts w:ascii="Calibri" w:cs="Calibri" w:eastAsia="Calibri" w:hAnsi="Calibri"/>
          <w:b/>
          <w:bCs/>
          <w:color w:val="1A1A1A"/>
          <w:sz w:val="22"/>
          <w:szCs w:val="22"/>
        </w:rPr>
        <w:t xml:space="preserve">Risk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three events do not indicate systemic clinical practice failure. Each was a process variation that was caught and corrected, with patient outcomes managed. The Risk Committee's question is whether the underlying processes have been strengthened sufficiently to prevent recurrence. The CMO's response indicates yes, with specific process changes implemented at each affected facility.</w:t>
      </w:r>
    </w:p>
    <w:p>
      <w:pPr>
        <w:spacing w:after="140" w:before="0" w:line="320"/>
        <w:jc w:val="left"/>
      </w:pPr>
      <w:r>
        <w:rPr>
          <w:rFonts w:ascii="Calibri" w:cs="Calibri" w:eastAsia="Calibri" w:hAnsi="Calibri"/>
          <w:b w:val="false"/>
          <w:bCs w:val="false"/>
          <w:i w:val="false"/>
          <w:iCs w:val="false"/>
          <w:color w:val="1A1A1A"/>
          <w:sz w:val="22"/>
          <w:szCs w:val="22"/>
        </w:rPr>
        <w:t xml:space="preserve">Recommendation: the Risk Committee will receive a 90-day post-implementation review on each of the three event-driven process changes at the July Committee meeting.</w:t>
      </w:r>
    </w:p>
    <w:p>
      <w:pPr>
        <w:pStyle w:val="Heading2"/>
        <w:spacing w:after="160" w:before="300"/>
      </w:pPr>
      <w:r>
        <w:rPr>
          <w:rFonts w:ascii="Georgia" w:cs="Georgia" w:eastAsia="Georgia" w:hAnsi="Georgia"/>
          <w:b/>
          <w:bCs/>
          <w:color w:val="1A1A1A"/>
          <w:sz w:val="25"/>
          <w:szCs w:val="25"/>
        </w:rPr>
        <w:t xml:space="preserve">Item 5 — Insurance programme</w:t>
      </w:r>
    </w:p>
    <w:p>
      <w:pPr>
        <w:spacing w:after="140" w:before="0" w:line="320"/>
        <w:jc w:val="left"/>
      </w:pPr>
      <w:r>
        <w:rPr>
          <w:rFonts w:ascii="Calibri" w:cs="Calibri" w:eastAsia="Calibri" w:hAnsi="Calibri"/>
          <w:b w:val="false"/>
          <w:bCs w:val="false"/>
          <w:i w:val="false"/>
          <w:iCs w:val="false"/>
          <w:color w:val="1A1A1A"/>
          <w:sz w:val="22"/>
          <w:szCs w:val="22"/>
        </w:rPr>
        <w:t xml:space="preserve">Annual insurance programme renewal in May 2026. Q1 review of programme adequacy: medical malpractice cover at USD 25 million per claim / USD 75 million aggregate (unchanged); cyber cover at USD 5 million per claim / USD 15 million aggregate (Risk Committee notes this may be inadequate given threat trajectory and recommends review at renewal); D&amp;O cover at USD 30 million (adequate).</w:t>
      </w:r>
    </w:p>
    <w:p>
      <w:pPr>
        <w:pStyle w:val="Heading3"/>
        <w:spacing w:after="120" w:before="220"/>
      </w:pPr>
      <w:r>
        <w:rPr>
          <w:rFonts w:ascii="Calibri" w:cs="Calibri" w:eastAsia="Calibri" w:hAnsi="Calibri"/>
          <w:b/>
          <w:bCs/>
          <w:color w:val="1A1A1A"/>
          <w:sz w:val="22"/>
          <w:szCs w:val="22"/>
        </w:rPr>
        <w:t xml:space="preserve">Risk Committee recommendation</w:t>
      </w:r>
    </w:p>
    <w:p>
      <w:pPr>
        <w:pStyle w:val="ListParagraph"/>
        <w:numPr>
          <w:ilvl w:val="0"/>
          <w:numId w:val="2"/>
        </w:numPr>
        <w:spacing w:after="90" w:line="320"/>
      </w:pPr>
      <w:r>
        <w:rPr>
          <w:rFonts w:ascii="Calibri" w:cs="Calibri" w:eastAsia="Calibri" w:hAnsi="Calibri"/>
          <w:color w:val="1A1A1A"/>
          <w:sz w:val="22"/>
          <w:szCs w:val="22"/>
        </w:rPr>
        <w:t xml:space="preserve">Approve continued medical malpractice cover at current levels.</w:t>
      </w:r>
    </w:p>
    <w:p>
      <w:pPr>
        <w:pStyle w:val="ListParagraph"/>
        <w:numPr>
          <w:ilvl w:val="0"/>
          <w:numId w:val="2"/>
        </w:numPr>
        <w:spacing w:after="90" w:line="320"/>
      </w:pPr>
      <w:r>
        <w:rPr>
          <w:rFonts w:ascii="Calibri" w:cs="Calibri" w:eastAsia="Calibri" w:hAnsi="Calibri"/>
          <w:color w:val="1A1A1A"/>
          <w:sz w:val="22"/>
          <w:szCs w:val="22"/>
        </w:rPr>
        <w:t xml:space="preserve">Recommend cyber cover be increased to USD 10 million per claim / USD 25 million aggregate at renewal.</w:t>
      </w:r>
    </w:p>
    <w:p>
      <w:pPr>
        <w:pStyle w:val="ListParagraph"/>
        <w:numPr>
          <w:ilvl w:val="0"/>
          <w:numId w:val="2"/>
        </w:numPr>
        <w:spacing w:after="90" w:line="320"/>
      </w:pPr>
      <w:r>
        <w:rPr>
          <w:rFonts w:ascii="Calibri" w:cs="Calibri" w:eastAsia="Calibri" w:hAnsi="Calibri"/>
          <w:color w:val="1A1A1A"/>
          <w:sz w:val="22"/>
          <w:szCs w:val="22"/>
        </w:rPr>
        <w:t xml:space="preserve">Approve continued D&amp;O cover at current levels.</w:t>
      </w:r>
    </w:p>
    <w:p>
      <w:pPr>
        <w:pStyle w:val="Heading2"/>
        <w:spacing w:after="160" w:before="300"/>
      </w:pPr>
      <w:r>
        <w:rPr>
          <w:rFonts w:ascii="Georgia" w:cs="Georgia" w:eastAsia="Georgia" w:hAnsi="Georgia"/>
          <w:b/>
          <w:bCs/>
          <w:color w:val="1A1A1A"/>
          <w:sz w:val="25"/>
          <w:szCs w:val="25"/>
        </w:rPr>
        <w:t xml:space="preserve">Decisions requested from the Risk Committee</w:t>
      </w:r>
    </w:p>
    <w:p>
      <w:pPr>
        <w:pStyle w:val="ListParagraph"/>
        <w:numPr>
          <w:ilvl w:val="0"/>
          <w:numId w:val="2"/>
        </w:numPr>
        <w:spacing w:after="90" w:line="320"/>
      </w:pPr>
      <w:r>
        <w:rPr>
          <w:rFonts w:ascii="Calibri" w:cs="Calibri" w:eastAsia="Calibri" w:hAnsi="Calibri"/>
          <w:color w:val="1A1A1A"/>
          <w:sz w:val="22"/>
          <w:szCs w:val="22"/>
        </w:rPr>
        <w:t xml:space="preserve">Endorse cyber tooling investment proposal scope to be developed by management.</w:t>
      </w:r>
    </w:p>
    <w:p>
      <w:pPr>
        <w:pStyle w:val="ListParagraph"/>
        <w:numPr>
          <w:ilvl w:val="0"/>
          <w:numId w:val="2"/>
        </w:numPr>
        <w:spacing w:after="90" w:line="320"/>
      </w:pPr>
      <w:r>
        <w:rPr>
          <w:rFonts w:ascii="Calibri" w:cs="Calibri" w:eastAsia="Calibri" w:hAnsi="Calibri"/>
          <w:color w:val="1A1A1A"/>
          <w:sz w:val="22"/>
          <w:szCs w:val="22"/>
        </w:rPr>
        <w:t xml:space="preserve">Endorse cyber posture elevation to standing Risk Committee agenda item with quarterly dashboard.</w:t>
      </w:r>
    </w:p>
    <w:p>
      <w:pPr>
        <w:pStyle w:val="ListParagraph"/>
        <w:numPr>
          <w:ilvl w:val="0"/>
          <w:numId w:val="2"/>
        </w:numPr>
        <w:spacing w:after="90" w:line="320"/>
      </w:pPr>
      <w:r>
        <w:rPr>
          <w:rFonts w:ascii="Calibri" w:cs="Calibri" w:eastAsia="Calibri" w:hAnsi="Calibri"/>
          <w:color w:val="1A1A1A"/>
          <w:sz w:val="22"/>
          <w:szCs w:val="22"/>
        </w:rPr>
        <w:t xml:space="preserve">Endorse annual cyber tabletop exercise.</w:t>
      </w:r>
    </w:p>
    <w:p>
      <w:pPr>
        <w:pStyle w:val="ListParagraph"/>
        <w:numPr>
          <w:ilvl w:val="0"/>
          <w:numId w:val="2"/>
        </w:numPr>
        <w:spacing w:after="90" w:line="320"/>
      </w:pPr>
      <w:r>
        <w:rPr>
          <w:rFonts w:ascii="Calibri" w:cs="Calibri" w:eastAsia="Calibri" w:hAnsi="Calibri"/>
          <w:color w:val="1A1A1A"/>
          <w:sz w:val="22"/>
          <w:szCs w:val="22"/>
        </w:rPr>
        <w:t xml:space="preserve">Endorse Tanzania expansion risk recommendations (specific risk register, operational ramp milestone reporting, hedging policy update).</w:t>
      </w:r>
    </w:p>
    <w:p>
      <w:pPr>
        <w:pStyle w:val="ListParagraph"/>
        <w:numPr>
          <w:ilvl w:val="0"/>
          <w:numId w:val="2"/>
        </w:numPr>
        <w:spacing w:after="90" w:line="320"/>
      </w:pPr>
      <w:r>
        <w:rPr>
          <w:rFonts w:ascii="Calibri" w:cs="Calibri" w:eastAsia="Calibri" w:hAnsi="Calibri"/>
          <w:color w:val="1A1A1A"/>
          <w:sz w:val="22"/>
          <w:szCs w:val="22"/>
        </w:rPr>
        <w:t xml:space="preserve">Endorse insurance programme positioning recommendations to the Board.</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A3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Risk Committee — 18 April 2026</w:t>
      </w:r>
    </w:p>
    <w:p>
      <w:pPr>
        <w:spacing w:after="240"/>
      </w:pPr>
      <w:r>
        <w:rPr>
          <w:rFonts w:ascii="Georgia" w:cs="Georgia" w:eastAsia="Georgia" w:hAnsi="Georgia"/>
          <w:i/>
          <w:iCs/>
          <w:color w:val="2B2B2A"/>
          <w:sz w:val="26"/>
          <w:szCs w:val="26"/>
        </w:rPr>
        <w:t xml:space="preserve">Confidential — Committee members and senior management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Saturday, 18 April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14:00 — 17:15</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Afya Health Group, Nairobi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Margaret Owino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 (3 of 3 members present)</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Minutes prepared by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Lillian Ouma (Company Secretary)</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 and apologies</w:t>
      </w:r>
    </w:p>
    <w:p>
      <w:pPr>
        <w:spacing w:after="140" w:before="0" w:line="320"/>
        <w:jc w:val="left"/>
      </w:pPr>
      <w:r>
        <w:rPr>
          <w:rFonts w:ascii="Calibri" w:cs="Calibri" w:eastAsia="Calibri" w:hAnsi="Calibri"/>
          <w:b w:val="false"/>
          <w:bCs w:val="false"/>
          <w:i w:val="false"/>
          <w:iCs w:val="false"/>
          <w:color w:val="1A1A1A"/>
          <w:sz w:val="22"/>
          <w:szCs w:val="22"/>
        </w:rPr>
        <w:t xml:space="preserve">Present: Margaret Owino (Chair), Bram Mwalo, John Kibaki. Management: Patricia Wanjiru (CEO), James Mwaura (CFO), Dr Susan Achieng (Chief Medical Officer), Daniel Kigen (Head of IT). Lillian Ouma (Company Secretary).</w:t>
      </w:r>
    </w:p>
    <w:p>
      <w:pPr>
        <w:spacing w:after="140" w:before="0" w:line="320"/>
        <w:jc w:val="left"/>
      </w:pPr>
      <w:r>
        <w:rPr>
          <w:rFonts w:ascii="Calibri" w:cs="Calibri" w:eastAsia="Calibri" w:hAnsi="Calibri"/>
          <w:b w:val="false"/>
          <w:bCs w:val="false"/>
          <w:i w:val="false"/>
          <w:iCs w:val="false"/>
          <w:color w:val="1A1A1A"/>
          <w:sz w:val="22"/>
          <w:szCs w:val="22"/>
        </w:rPr>
        <w:t xml:space="preserve">No apologies. Quorum confirmed by the Chair.</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None new. Standing register reviewed and confirmed current.</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Minutes of the meeting held on 18 January 2026 confirmed as a true record.</w:t>
      </w:r>
    </w:p>
    <w:p>
      <w:pPr>
        <w:pStyle w:val="Heading2"/>
        <w:spacing w:after="160" w:before="300"/>
      </w:pPr>
      <w:r>
        <w:rPr>
          <w:rFonts w:ascii="Georgia" w:cs="Georgia" w:eastAsia="Georgia" w:hAnsi="Georgia"/>
          <w:b/>
          <w:bCs/>
          <w:color w:val="1A1A1A"/>
          <w:sz w:val="25"/>
          <w:szCs w:val="25"/>
        </w:rPr>
        <w:t xml:space="preserve">4. Action items review</w:t>
      </w:r>
    </w:p>
    <w:p>
      <w:pPr>
        <w:spacing w:after="140" w:before="0" w:line="320"/>
        <w:jc w:val="left"/>
      </w:pPr>
      <w:r>
        <w:rPr>
          <w:rFonts w:ascii="Calibri" w:cs="Calibri" w:eastAsia="Calibri" w:hAnsi="Calibri"/>
          <w:b w:val="false"/>
          <w:bCs w:val="false"/>
          <w:i w:val="false"/>
          <w:iCs w:val="false"/>
          <w:color w:val="1A1A1A"/>
          <w:sz w:val="22"/>
          <w:szCs w:val="22"/>
        </w:rPr>
        <w:t xml:space="preserve">Of seven action items from January, six are closed. The outstanding item — clinical governance framework finalisation for Risk Committee review — is the substantive content of Item 2 of this meeting.</w:t>
      </w:r>
    </w:p>
    <w:p>
      <w:pPr>
        <w:pStyle w:val="Heading2"/>
        <w:spacing w:after="160" w:before="300"/>
      </w:pPr>
      <w:r>
        <w:rPr>
          <w:rFonts w:ascii="Georgia" w:cs="Georgia" w:eastAsia="Georgia" w:hAnsi="Georgia"/>
          <w:b/>
          <w:bCs/>
          <w:color w:val="1A1A1A"/>
          <w:sz w:val="25"/>
          <w:szCs w:val="25"/>
        </w:rPr>
        <w:t xml:space="preserve">5. Item 1 — Cyber and IT risk</w:t>
      </w:r>
    </w:p>
    <w:p>
      <w:pPr>
        <w:spacing w:after="140" w:before="0" w:line="320"/>
        <w:jc w:val="left"/>
      </w:pPr>
      <w:r>
        <w:rPr>
          <w:rFonts w:ascii="Calibri" w:cs="Calibri" w:eastAsia="Calibri" w:hAnsi="Calibri"/>
          <w:b w:val="false"/>
          <w:bCs w:val="false"/>
          <w:i w:val="false"/>
          <w:iCs w:val="false"/>
          <w:color w:val="1A1A1A"/>
          <w:sz w:val="22"/>
          <w:szCs w:val="22"/>
        </w:rPr>
        <w:t xml:space="preserve">The Head of IT presented Q1 cyber trajectory and the two events. Attack volumes grew from 102 monthly in November to 248 in March — a 2.4x increase in five months.</w:t>
      </w:r>
    </w:p>
    <w:p>
      <w:pPr>
        <w:spacing w:after="140" w:before="0" w:line="320"/>
        <w:jc w:val="left"/>
      </w:pPr>
      <w:r>
        <w:rPr>
          <w:rFonts w:ascii="Calibri" w:cs="Calibri" w:eastAsia="Calibri" w:hAnsi="Calibri"/>
          <w:b w:val="false"/>
          <w:bCs w:val="false"/>
          <w:i w:val="false"/>
          <w:iCs w:val="false"/>
          <w:color w:val="1A1A1A"/>
          <w:sz w:val="22"/>
          <w:szCs w:val="22"/>
        </w:rPr>
        <w:t xml:space="preserve">Bram Mwalo opened questioning. He noted that the trajectory at Afya was consistent with patterns visible across multiple sectors of the regional economy and asked the Head of IT whether the Mandiant assessment that had been undertaken at peer organisations had any relevance to Afya's posture review. The Head of IT confirmed Mandiant had been considered but not yet engaged; the Risk Committee's recommendation for a cyber tooling investment proposal would inform the choice of assessment partner.</w:t>
      </w:r>
    </w:p>
    <w:p>
      <w:pPr>
        <w:spacing w:after="140" w:before="0" w:line="320"/>
        <w:jc w:val="left"/>
      </w:pPr>
      <w:r>
        <w:rPr>
          <w:rFonts w:ascii="Calibri" w:cs="Calibri" w:eastAsia="Calibri" w:hAnsi="Calibri"/>
          <w:b w:val="false"/>
          <w:bCs w:val="false"/>
          <w:i w:val="false"/>
          <w:iCs w:val="false"/>
          <w:color w:val="1A1A1A"/>
          <w:sz w:val="22"/>
          <w:szCs w:val="22"/>
        </w:rPr>
        <w:t xml:space="preserve">Bram Mwalo continued: he asked specifically about clinical record system access logging. In a peer healthcare context, access logging gaps had been identified as the most critical control failure during a recent compromise — could the Head of IT confirm Afya's logging coverage was complete? The Head of IT acknowledged that current logging covered access events but not all administrative actions, and that this gap would be addressed in the proposed tooling investment.</w:t>
      </w:r>
    </w:p>
    <w:p>
      <w:pPr>
        <w:spacing w:after="140" w:before="0" w:line="320"/>
        <w:jc w:val="left"/>
      </w:pPr>
      <w:r>
        <w:rPr>
          <w:rFonts w:ascii="Calibri" w:cs="Calibri" w:eastAsia="Calibri" w:hAnsi="Calibri"/>
          <w:b w:val="false"/>
          <w:bCs w:val="false"/>
          <w:i w:val="false"/>
          <w:iCs w:val="false"/>
          <w:color w:val="1A1A1A"/>
          <w:sz w:val="22"/>
          <w:szCs w:val="22"/>
        </w:rPr>
        <w:t xml:space="preserve">Margaret Owino asked whether the cyber posture should be elevated to standing Board agenda item rather than only Risk Committee. Bram Mwalo indicated his preference for Risk Committee focus first, with quarterly Board summary updates, until the threat trajectory or governance maturity warranted full Board agenda elevation.</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(1) management to develop a cyber tooling investment proposal for Q2 Board consideration with scope as detailed in the paper; (2) cyber posture elevated to a standing Risk Committee agenda item with quarterly dashboard reporting; (3) annual cyber tabletop exercise scheduled for Q3 2026; (4) clinical record system access logging gap to be addressed within the cyber tooling investment proposal.</w:t>
      </w:r>
    </w:p>
    <w:p>
      <w:pPr>
        <w:pStyle w:val="Heading2"/>
        <w:spacing w:after="160" w:before="300"/>
      </w:pPr>
      <w:r>
        <w:rPr>
          <w:rFonts w:ascii="Georgia" w:cs="Georgia" w:eastAsia="Georgia" w:hAnsi="Georgia"/>
          <w:b/>
          <w:bCs/>
          <w:color w:val="1A1A1A"/>
          <w:sz w:val="25"/>
          <w:szCs w:val="25"/>
        </w:rPr>
        <w:t xml:space="preserve">6. Item 2 — Clinical governance maturation</w:t>
      </w:r>
    </w:p>
    <w:p>
      <w:pPr>
        <w:spacing w:after="140" w:before="0" w:line="320"/>
        <w:jc w:val="left"/>
      </w:pPr>
      <w:r>
        <w:rPr>
          <w:rFonts w:ascii="Calibri" w:cs="Calibri" w:eastAsia="Calibri" w:hAnsi="Calibri"/>
          <w:b w:val="false"/>
          <w:bCs w:val="false"/>
          <w:i w:val="false"/>
          <w:iCs w:val="false"/>
          <w:color w:val="1A1A1A"/>
          <w:sz w:val="22"/>
          <w:szCs w:val="22"/>
        </w:rPr>
        <w:t xml:space="preserve">The CMO presented the revised clinical governance framework, endorsed by the Quality and Clinical Governance Committee. Risk Committee perspective sought.</w:t>
      </w:r>
    </w:p>
    <w:p>
      <w:pPr>
        <w:spacing w:after="140" w:before="0" w:line="320"/>
        <w:jc w:val="left"/>
      </w:pPr>
      <w:r>
        <w:rPr>
          <w:rFonts w:ascii="Calibri" w:cs="Calibri" w:eastAsia="Calibri" w:hAnsi="Calibri"/>
          <w:b w:val="false"/>
          <w:bCs w:val="false"/>
          <w:i w:val="false"/>
          <w:iCs w:val="false"/>
          <w:color w:val="1A1A1A"/>
          <w:sz w:val="22"/>
          <w:szCs w:val="22"/>
        </w:rPr>
        <w:t xml:space="preserve">John Kibaki asked about international benchmarks. The CMO confirmed the framework had been benchmarked against Aga Khan University Hospital and a selection of South African private hospital groups; Afya's framework would be approximately at peer median post-implementation.</w:t>
      </w:r>
    </w:p>
    <w:p>
      <w:pPr>
        <w:spacing w:after="140" w:before="0" w:line="320"/>
        <w:jc w:val="left"/>
      </w:pPr>
      <w:r>
        <w:rPr>
          <w:rFonts w:ascii="Calibri" w:cs="Calibri" w:eastAsia="Calibri" w:hAnsi="Calibri"/>
          <w:b w:val="false"/>
          <w:bCs w:val="false"/>
          <w:i w:val="false"/>
          <w:iCs w:val="false"/>
          <w:color w:val="1A1A1A"/>
          <w:sz w:val="22"/>
          <w:szCs w:val="22"/>
        </w:rPr>
        <w:t xml:space="preserve">Bram Mwalo flagged the implication of the lowered sentinel event threshold. He asked: in the first reporting period after the threshold change, will headline event numbers increase? The CMO confirmed yes — possibly by 30-50%. Bram Mwalo asked whether this increase would be specifically communicated to the Board with appropriate framing. The CMO and CEO confirmed the communication plan was in development and would be presented at the next Board meeting.</w:t>
      </w:r>
    </w:p>
    <w:p>
      <w:pPr>
        <w:spacing w:after="140" w:before="0" w:line="320"/>
        <w:jc w:val="left"/>
      </w:pPr>
      <w:r>
        <w:rPr>
          <w:rFonts w:ascii="Calibri" w:cs="Calibri" w:eastAsia="Calibri" w:hAnsi="Calibri"/>
          <w:b w:val="false"/>
          <w:bCs w:val="false"/>
          <w:i w:val="false"/>
          <w:iCs w:val="false"/>
          <w:color w:val="1A1A1A"/>
          <w:sz w:val="22"/>
          <w:szCs w:val="22"/>
        </w:rPr>
        <w:t xml:space="preserve">Margaret Owino noted that the IPO readiness implications were positive — IPO investors would expect a conservative threshold and the change was a maturity signal.</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(1) endorse the revised clinical governance framework from a risk perspective; (2) management to develop and present a Board communication plan for the threshold change at the next Board meeting; (3) the framework's first 90-day post-implementation review to be presented to the Risk Committee in July.</w:t>
      </w:r>
    </w:p>
    <w:p>
      <w:pPr>
        <w:pStyle w:val="Heading2"/>
        <w:spacing w:after="160" w:before="300"/>
      </w:pPr>
      <w:r>
        <w:rPr>
          <w:rFonts w:ascii="Georgia" w:cs="Georgia" w:eastAsia="Georgia" w:hAnsi="Georgia"/>
          <w:b/>
          <w:bCs/>
          <w:color w:val="1A1A1A"/>
          <w:sz w:val="25"/>
          <w:szCs w:val="25"/>
        </w:rPr>
        <w:t xml:space="preserve">7. Item 3 — Tanzania expansion risk profile</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risk profile of the USD 80 million expansion capital plan.</w:t>
      </w:r>
    </w:p>
    <w:p>
      <w:pPr>
        <w:spacing w:after="140" w:before="0" w:line="320"/>
        <w:jc w:val="left"/>
      </w:pPr>
      <w:r>
        <w:rPr>
          <w:rFonts w:ascii="Calibri" w:cs="Calibri" w:eastAsia="Calibri" w:hAnsi="Calibri"/>
          <w:b w:val="false"/>
          <w:bCs w:val="false"/>
          <w:i w:val="false"/>
          <w:iCs w:val="false"/>
          <w:color w:val="1A1A1A"/>
          <w:sz w:val="22"/>
          <w:szCs w:val="22"/>
        </w:rPr>
        <w:t xml:space="preserve">Bram Mwalo opened by acknowledging that the risk profile was acceptable and asked the CFO about the operational ramp risk specifically. The CFO indicated the Tanzania CEO had been recruited in November 2025 and was now in place; her track record at a peer healthcare group was the principal mitigation for operational ramp risk.</w:t>
      </w:r>
    </w:p>
    <w:p>
      <w:pPr>
        <w:spacing w:after="140" w:before="0" w:line="320"/>
        <w:jc w:val="left"/>
      </w:pPr>
      <w:r>
        <w:rPr>
          <w:rFonts w:ascii="Calibri" w:cs="Calibri" w:eastAsia="Calibri" w:hAnsi="Calibri"/>
          <w:b w:val="false"/>
          <w:bCs w:val="false"/>
          <w:i w:val="false"/>
          <w:iCs w:val="false"/>
          <w:color w:val="1A1A1A"/>
          <w:sz w:val="22"/>
          <w:szCs w:val="22"/>
        </w:rPr>
        <w:t xml:space="preserve">John Kibaki asked about the Tanzania-specific risk register. The CFO confirmed it was in draft and would be presented at the July Risk Committee meeting.</w:t>
      </w:r>
    </w:p>
    <w:p>
      <w:pPr>
        <w:spacing w:after="140" w:before="0" w:line="320"/>
        <w:jc w:val="left"/>
      </w:pPr>
      <w:r>
        <w:rPr>
          <w:rFonts w:ascii="Calibri" w:cs="Calibri" w:eastAsia="Calibri" w:hAnsi="Calibri"/>
          <w:b w:val="false"/>
          <w:bCs w:val="false"/>
          <w:i w:val="false"/>
          <w:iCs w:val="false"/>
          <w:color w:val="1A1A1A"/>
          <w:sz w:val="22"/>
          <w:szCs w:val="22"/>
        </w:rPr>
        <w:t xml:space="preserve">Bram Mwalo asked about currency hedging policy. The CFO indicated current policy did not contemplate the post-raise USD debt exposure; an updated policy would be presented at the next Risk Committee meeting.</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(1) endorse the Tanzania expansion risk profile; (2) Tanzania-specific risk register to be presented at the July Risk Committee meeting; (3) currency hedging policy update to be presented at the next Risk Committee meeting; (4) operational ramp milestones to be reported at every Risk Committee meeting through 2027.</w:t>
      </w:r>
    </w:p>
    <w:p>
      <w:pPr>
        <w:pStyle w:val="Heading2"/>
        <w:spacing w:after="160" w:before="300"/>
      </w:pPr>
      <w:r>
        <w:rPr>
          <w:rFonts w:ascii="Georgia" w:cs="Georgia" w:eastAsia="Georgia" w:hAnsi="Georgia"/>
          <w:b/>
          <w:bCs/>
          <w:color w:val="1A1A1A"/>
          <w:sz w:val="25"/>
          <w:szCs w:val="25"/>
        </w:rPr>
        <w:t xml:space="preserve">8. Item 4 — Sentinel event review</w:t>
      </w:r>
    </w:p>
    <w:p>
      <w:pPr>
        <w:spacing w:after="140" w:before="0" w:line="320"/>
        <w:jc w:val="left"/>
      </w:pPr>
      <w:r>
        <w:rPr>
          <w:rFonts w:ascii="Calibri" w:cs="Calibri" w:eastAsia="Calibri" w:hAnsi="Calibri"/>
          <w:b w:val="false"/>
          <w:bCs w:val="false"/>
          <w:i w:val="false"/>
          <w:iCs w:val="false"/>
          <w:color w:val="1A1A1A"/>
          <w:sz w:val="22"/>
          <w:szCs w:val="22"/>
        </w:rPr>
        <w:t xml:space="preserve">The CMO presented summary of the three Q1 sentinel events. Quality and Clinical Governance Committee has conducted detailed review; Risk Committee reviewed from infrastructure perspective.</w:t>
      </w:r>
    </w:p>
    <w:p>
      <w:pPr>
        <w:spacing w:after="140" w:before="0" w:line="320"/>
        <w:jc w:val="left"/>
      </w:pPr>
      <w:r>
        <w:rPr>
          <w:rFonts w:ascii="Calibri" w:cs="Calibri" w:eastAsia="Calibri" w:hAnsi="Calibri"/>
          <w:b w:val="false"/>
          <w:bCs w:val="false"/>
          <w:i w:val="false"/>
          <w:iCs w:val="false"/>
          <w:color w:val="1A1A1A"/>
          <w:sz w:val="22"/>
          <w:szCs w:val="22"/>
        </w:rPr>
        <w:t xml:space="preserve">Bram Mwalo asked whether any of the three events had revealed control gaps that might affect other facilities not directly involved. The CMO confirmed each event had triggered a system-wide review of the relevant control; in two of three cases, additional process improvements had been implemented at facilities not directly involved.</w:t>
      </w:r>
    </w:p>
    <w:p>
      <w:pPr>
        <w:spacing w:after="140" w:before="0" w:line="320"/>
        <w:jc w:val="left"/>
      </w:pPr>
      <w:r>
        <w:rPr>
          <w:rFonts w:ascii="Calibri" w:cs="Calibri" w:eastAsia="Calibri" w:hAnsi="Calibri"/>
          <w:b w:val="false"/>
          <w:bCs w:val="false"/>
          <w:i w:val="false"/>
          <w:iCs w:val="false"/>
          <w:color w:val="1A1A1A"/>
          <w:sz w:val="22"/>
          <w:szCs w:val="22"/>
        </w:rPr>
        <w:t xml:space="preserve">Margaret Owino confirmed her satisfaction with the review's depth and noted Risk Committee's expectation of a 90-day post-implementation review at the July meeting.</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receive the sentinel event review and confirmed the 90-day post-implementation review for the July meeting.</w:t>
      </w:r>
    </w:p>
    <w:p>
      <w:pPr>
        <w:pStyle w:val="Heading2"/>
        <w:spacing w:after="160" w:before="300"/>
      </w:pPr>
      <w:r>
        <w:rPr>
          <w:rFonts w:ascii="Georgia" w:cs="Georgia" w:eastAsia="Georgia" w:hAnsi="Georgia"/>
          <w:b/>
          <w:bCs/>
          <w:color w:val="1A1A1A"/>
          <w:sz w:val="25"/>
          <w:szCs w:val="25"/>
        </w:rPr>
        <w:t xml:space="preserve">9. Item 5 — Insurance programme</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insurance programme review. Cyber cover at USD 5m per claim / USD 15m aggregate may be inadequate given threat trajectory.</w:t>
      </w:r>
    </w:p>
    <w:p>
      <w:pPr>
        <w:spacing w:after="140" w:before="0" w:line="320"/>
        <w:jc w:val="left"/>
      </w:pPr>
      <w:r>
        <w:rPr>
          <w:rFonts w:ascii="Calibri" w:cs="Calibri" w:eastAsia="Calibri" w:hAnsi="Calibri"/>
          <w:b w:val="false"/>
          <w:bCs w:val="false"/>
          <w:i w:val="false"/>
          <w:iCs w:val="false"/>
          <w:color w:val="1A1A1A"/>
          <w:sz w:val="22"/>
          <w:szCs w:val="22"/>
        </w:rPr>
        <w:t xml:space="preserve">Bram Mwalo asked specifically about peer benchmarking on cyber cover for healthcare groups of Afya's size. The CFO confirmed the recommendation to increase to USD 10m / USD 25m would bring Afya to peer median.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endorsed the recommendation.</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recommend to the Board: continued medical malpractice cover at current levels; cyber cover increase to USD 10m per claim / USD 25m aggregate at May renewal; continued D&amp;O cover at current levels.</w:t>
      </w:r>
    </w:p>
    <w:p>
      <w:pPr>
        <w:pStyle w:val="Heading2"/>
        <w:spacing w:after="160" w:before="300"/>
      </w:pPr>
      <w:r>
        <w:rPr>
          <w:rFonts w:ascii="Georgia" w:cs="Georgia" w:eastAsia="Georgia" w:hAnsi="Georgia"/>
          <w:b/>
          <w:bCs/>
          <w:color w:val="1A1A1A"/>
          <w:sz w:val="25"/>
          <w:szCs w:val="25"/>
        </w:rPr>
        <w:t xml:space="preserve">10. Any other business</w:t>
      </w:r>
    </w:p>
    <w:p>
      <w:pPr>
        <w:spacing w:after="140" w:before="0" w:line="320"/>
        <w:jc w:val="left"/>
      </w:pPr>
      <w:r>
        <w:rPr>
          <w:rFonts w:ascii="Calibri" w:cs="Calibri" w:eastAsia="Calibri" w:hAnsi="Calibri"/>
          <w:b w:val="false"/>
          <w:bCs w:val="false"/>
          <w:i w:val="false"/>
          <w:iCs w:val="false"/>
          <w:color w:val="1A1A1A"/>
          <w:sz w:val="22"/>
          <w:szCs w:val="22"/>
        </w:rPr>
        <w:t xml:space="preserve">None tabled.</w:t>
      </w:r>
    </w:p>
    <w:p>
      <w:pPr>
        <w:pStyle w:val="Heading2"/>
        <w:spacing w:after="160" w:before="300"/>
      </w:pPr>
      <w:r>
        <w:rPr>
          <w:rFonts w:ascii="Georgia" w:cs="Georgia" w:eastAsia="Georgia" w:hAnsi="Georgia"/>
          <w:b/>
          <w:bCs/>
          <w:color w:val="1A1A1A"/>
          <w:sz w:val="25"/>
          <w:szCs w:val="25"/>
        </w:rPr>
        <w:t xml:space="preserve">11.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Next Risk Committee meeting: Saturday 18 July 2026 at 14:00.</w:t>
      </w:r>
    </w:p>
    <w:p>
      <w:pPr>
        <w:pStyle w:val="Heading2"/>
        <w:spacing w:after="160" w:before="300"/>
      </w:pPr>
      <w:r>
        <w:rPr>
          <w:rFonts w:ascii="Georgia" w:cs="Georgia" w:eastAsia="Georgia" w:hAnsi="Georgia"/>
          <w:b/>
          <w:bCs/>
          <w:color w:val="1A1A1A"/>
          <w:sz w:val="25"/>
          <w:szCs w:val="25"/>
        </w:rPr>
        <w:t xml:space="preserve">12. Closing</w:t>
      </w:r>
    </w:p>
    <w:p>
      <w:pPr>
        <w:spacing w:after="140" w:before="0" w:line="320"/>
        <w:jc w:val="left"/>
      </w:pPr>
      <w:r>
        <w:rPr>
          <w:rFonts w:ascii="Calibri" w:cs="Calibri" w:eastAsia="Calibri" w:hAnsi="Calibri"/>
          <w:b w:val="false"/>
          <w:bCs w:val="false"/>
          <w:i w:val="false"/>
          <w:iCs w:val="false"/>
          <w:color w:val="1A1A1A"/>
          <w:sz w:val="22"/>
          <w:szCs w:val="22"/>
        </w:rPr>
        <w:t xml:space="preserve">Meeting closed at 17:15.</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Margaret Owino, Chair                                       Date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A4 OF 4</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Board of Directors — 25 April 2026</w:t>
      </w:r>
    </w:p>
    <w:p>
      <w:pPr>
        <w:spacing w:after="240"/>
      </w:pPr>
      <w:r>
        <w:rPr>
          <w:rFonts w:ascii="Georgia" w:cs="Georgia" w:eastAsia="Georgia" w:hAnsi="Georgia"/>
          <w:i/>
          <w:iCs/>
          <w:color w:val="2B2B2A"/>
          <w:sz w:val="26"/>
          <w:szCs w:val="26"/>
        </w:rPr>
        <w:t xml:space="preserve">Quarterly Board Meeting (Q1 2026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Friday, 25 April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08:30 — 16:00 (with adjournment for lunch)</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Afya Health Group Headquarters, Nairobi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Dr Joseph Muiruri (Board Chair)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 (8 of 9 directors present)</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w:t>
      </w:r>
    </w:p>
    <w:p>
      <w:pPr>
        <w:spacing w:after="140" w:before="0" w:line="320"/>
        <w:jc w:val="left"/>
      </w:pPr>
      <w:r>
        <w:rPr>
          <w:rFonts w:ascii="Calibri" w:cs="Calibri" w:eastAsia="Calibri" w:hAnsi="Calibri"/>
          <w:b w:val="false"/>
          <w:bCs w:val="false"/>
          <w:i w:val="false"/>
          <w:iCs w:val="false"/>
          <w:color w:val="1A1A1A"/>
          <w:sz w:val="22"/>
          <w:szCs w:val="22"/>
        </w:rPr>
        <w:t xml:space="preserve">Present: Dr Joseph Muiruri (Chair), Patricia Wanjiru (CEO), Edward Kihara (Founder Director), Joyce Nyambura (Founder Director), Bram Mwalo, Margaret Owino, John Kibaki, Joyce Kariuki, Patrick Mwangi.</w:t>
      </w:r>
    </w:p>
    <w:p>
      <w:pPr>
        <w:spacing w:after="140" w:before="0" w:line="320"/>
        <w:jc w:val="left"/>
      </w:pPr>
      <w:r>
        <w:rPr>
          <w:rFonts w:ascii="Calibri" w:cs="Calibri" w:eastAsia="Calibri" w:hAnsi="Calibri"/>
          <w:b w:val="false"/>
          <w:bCs w:val="false"/>
          <w:i w:val="false"/>
          <w:iCs w:val="false"/>
          <w:color w:val="1A1A1A"/>
          <w:sz w:val="22"/>
          <w:szCs w:val="22"/>
        </w:rPr>
        <w:t xml:space="preserve">Apology: William Otieno (notified ahead; written input on Tanzania expansion plan circulated).</w:t>
      </w:r>
    </w:p>
    <w:p>
      <w:pPr>
        <w:spacing w:after="140" w:before="0" w:line="320"/>
        <w:jc w:val="left"/>
      </w:pPr>
      <w:r>
        <w:rPr>
          <w:rFonts w:ascii="Calibri" w:cs="Calibri" w:eastAsia="Calibri" w:hAnsi="Calibri"/>
          <w:b w:val="false"/>
          <w:bCs w:val="false"/>
          <w:i w:val="false"/>
          <w:iCs w:val="false"/>
          <w:color w:val="1A1A1A"/>
          <w:sz w:val="22"/>
          <w:szCs w:val="22"/>
        </w:rPr>
        <w:t xml:space="preserve">Management: James Mwaura (CFO), Dr Susan Achieng (CMO), Lillian Ouma (Company Secretary).</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None new.</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Minutes of the 24 January 2026 Board meeting confirmed.</w:t>
      </w:r>
    </w:p>
    <w:p>
      <w:pPr>
        <w:pStyle w:val="Heading2"/>
        <w:spacing w:after="160" w:before="300"/>
      </w:pPr>
      <w:r>
        <w:rPr>
          <w:rFonts w:ascii="Georgia" w:cs="Georgia" w:eastAsia="Georgia" w:hAnsi="Georgia"/>
          <w:b/>
          <w:bCs/>
          <w:color w:val="1A1A1A"/>
          <w:sz w:val="25"/>
          <w:szCs w:val="25"/>
        </w:rPr>
        <w:t xml:space="preserve">4. CEO's report and Q1 close</w:t>
      </w:r>
    </w:p>
    <w:p>
      <w:pPr>
        <w:spacing w:after="140" w:before="0" w:line="320"/>
        <w:jc w:val="left"/>
      </w:pPr>
      <w:r>
        <w:rPr>
          <w:rFonts w:ascii="Calibri" w:cs="Calibri" w:eastAsia="Calibri" w:hAnsi="Calibri"/>
          <w:b w:val="false"/>
          <w:bCs w:val="false"/>
          <w:i w:val="false"/>
          <w:iCs w:val="false"/>
          <w:color w:val="1A1A1A"/>
          <w:sz w:val="22"/>
          <w:szCs w:val="22"/>
        </w:rPr>
        <w:t xml:space="preserve">The CEO presented the Q1 close. Revenue ahead of plan, EBITDA margin at 17.7%, Tanzania ahead of plan. Three substantive items for Board decision: Tanzania expansion capital plan, sentinel event review, cyber and IT risk posture.</w:t>
      </w:r>
    </w:p>
    <w:p>
      <w:pPr>
        <w:pStyle w:val="Heading2"/>
        <w:spacing w:after="160" w:before="300"/>
      </w:pPr>
      <w:r>
        <w:rPr>
          <w:rFonts w:ascii="Georgia" w:cs="Georgia" w:eastAsia="Georgia" w:hAnsi="Georgia"/>
          <w:b/>
          <w:bCs/>
          <w:color w:val="1A1A1A"/>
          <w:sz w:val="25"/>
          <w:szCs w:val="25"/>
        </w:rPr>
        <w:t xml:space="preserve">5. Tanzania expansion capital plan</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plan. USD 80m raise, USD 50m equity, USD 30m structured debt. Closing target 30 June 2026.</w:t>
      </w:r>
    </w:p>
    <w:p>
      <w:pPr>
        <w:spacing w:after="140" w:before="0" w:line="320"/>
        <w:jc w:val="left"/>
      </w:pPr>
      <w:r>
        <w:rPr>
          <w:rFonts w:ascii="Calibri" w:cs="Calibri" w:eastAsia="Calibri" w:hAnsi="Calibri"/>
          <w:b w:val="false"/>
          <w:bCs w:val="false"/>
          <w:i w:val="false"/>
          <w:iCs w:val="false"/>
          <w:color w:val="1A1A1A"/>
          <w:sz w:val="22"/>
          <w:szCs w:val="22"/>
        </w:rPr>
        <w:t xml:space="preserve">Margaret Owino (Risk Committee Chair) confirmed Risk Committee endorsement of the risk profile.</w:t>
      </w:r>
    </w:p>
    <w:p>
      <w:pPr>
        <w:spacing w:after="140" w:before="0" w:line="320"/>
        <w:jc w:val="left"/>
      </w:pPr>
      <w:r>
        <w:rPr>
          <w:rFonts w:ascii="Calibri" w:cs="Calibri" w:eastAsia="Calibri" w:hAnsi="Calibri"/>
          <w:b w:val="false"/>
          <w:bCs w:val="false"/>
          <w:i w:val="false"/>
          <w:iCs w:val="false"/>
          <w:color w:val="1A1A1A"/>
          <w:sz w:val="22"/>
          <w:szCs w:val="22"/>
        </w:rPr>
        <w:t xml:space="preserve">Joyce Kariuki (Audit Committee Chair) asked about the impact on capital structure and IPO readiness. The CFO indicated the post-raise capital structure remained consistent with IPO targets; the structured debt component had been specifically designed to be IPO-compatible.</w:t>
      </w:r>
    </w:p>
    <w:p>
      <w:pPr>
        <w:spacing w:after="140" w:before="0" w:line="320"/>
        <w:jc w:val="left"/>
      </w:pPr>
      <w:r>
        <w:rPr>
          <w:rFonts w:ascii="Calibri" w:cs="Calibri" w:eastAsia="Calibri" w:hAnsi="Calibri"/>
          <w:b w:val="false"/>
          <w:bCs w:val="false"/>
          <w:i w:val="false"/>
          <w:iCs w:val="false"/>
          <w:color w:val="1A1A1A"/>
          <w:sz w:val="22"/>
          <w:szCs w:val="22"/>
        </w:rPr>
        <w:t xml:space="preserve">Bram Mwalo asked about the Tanzania CEO's onboarding progress. The CEO indicated the Tanzania CEO had been in role since November 2025 and was performing strongly; she had completed her transition tour of all existing facilities and was now leading the Mwanza site preparation.</w:t>
      </w:r>
    </w:p>
    <w:p>
      <w:pPr>
        <w:spacing w:after="140" w:before="0" w:line="320"/>
        <w:jc w:val="left"/>
      </w:pPr>
      <w:r>
        <w:rPr>
          <w:rFonts w:ascii="Calibri" w:cs="Calibri" w:eastAsia="Calibri" w:hAnsi="Calibri"/>
          <w:b w:val="false"/>
          <w:bCs w:val="false"/>
          <w:i w:val="false"/>
          <w:iCs w:val="false"/>
          <w:color w:val="1A1A1A"/>
          <w:sz w:val="22"/>
          <w:szCs w:val="22"/>
        </w:rPr>
        <w:t xml:space="preserve">Edward Kihara (Founder Director) asked about contingency in the closing timeline. The CFO indicated the equity component was in advanced negotiation with high probability of closure on schedule; the debt component had two contingent lenders if the lead lender's credit committee delayed.</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approves the Tanzania expansion capital plan and the structuring of the USD 80 million raise. Carried unanimously.</w:t>
      </w:r>
    </w:p>
    <w:p>
      <w:pPr>
        <w:pStyle w:val="Heading2"/>
        <w:spacing w:after="160" w:before="300"/>
      </w:pPr>
      <w:r>
        <w:rPr>
          <w:rFonts w:ascii="Georgia" w:cs="Georgia" w:eastAsia="Georgia" w:hAnsi="Georgia"/>
          <w:b/>
          <w:bCs/>
          <w:color w:val="1A1A1A"/>
          <w:sz w:val="25"/>
          <w:szCs w:val="25"/>
        </w:rPr>
        <w:t xml:space="preserve">6. Sentinel event review</w:t>
      </w:r>
    </w:p>
    <w:p>
      <w:pPr>
        <w:spacing w:after="140" w:before="0" w:line="320"/>
        <w:jc w:val="left"/>
      </w:pPr>
      <w:r>
        <w:rPr>
          <w:rFonts w:ascii="Calibri" w:cs="Calibri" w:eastAsia="Calibri" w:hAnsi="Calibri"/>
          <w:b w:val="false"/>
          <w:bCs w:val="false"/>
          <w:i w:val="false"/>
          <w:iCs w:val="false"/>
          <w:color w:val="1A1A1A"/>
          <w:sz w:val="22"/>
          <w:szCs w:val="22"/>
        </w:rPr>
        <w:t xml:space="preserve">The CMO presented the Quality and Clinical Governance Committee report on the three Q1 sentinel events. Risk Committee perspective confirmed by Margaret Owino.</w:t>
      </w:r>
    </w:p>
    <w:p>
      <w:pPr>
        <w:spacing w:after="140" w:before="0" w:line="320"/>
        <w:jc w:val="left"/>
      </w:pPr>
      <w:r>
        <w:rPr>
          <w:rFonts w:ascii="Calibri" w:cs="Calibri" w:eastAsia="Calibri" w:hAnsi="Calibri"/>
          <w:b w:val="false"/>
          <w:bCs w:val="false"/>
          <w:i w:val="false"/>
          <w:iCs w:val="false"/>
          <w:color w:val="1A1A1A"/>
          <w:sz w:val="22"/>
          <w:szCs w:val="22"/>
        </w:rPr>
        <w:t xml:space="preserve">Patrick Mwangi (Nominations &amp; Governance Committee Chair) asked about Board-level reporting cadence on clinical events going forward. The CMO confirmed the new clinical risk dashboard would be presented at every Board meeting from Q2.</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receives the Q1 sentinel event review and notes the new clinical risk dashboard will be presented from Q2.</w:t>
      </w:r>
    </w:p>
    <w:p>
      <w:pPr>
        <w:pStyle w:val="Heading2"/>
        <w:spacing w:after="160" w:before="300"/>
      </w:pPr>
      <w:r>
        <w:rPr>
          <w:rFonts w:ascii="Georgia" w:cs="Georgia" w:eastAsia="Georgia" w:hAnsi="Georgia"/>
          <w:b/>
          <w:bCs/>
          <w:color w:val="1A1A1A"/>
          <w:sz w:val="25"/>
          <w:szCs w:val="25"/>
        </w:rPr>
        <w:t xml:space="preserve">7. Cyber and IT risk posture</w:t>
      </w:r>
    </w:p>
    <w:p>
      <w:pPr>
        <w:spacing w:after="140" w:before="0" w:line="320"/>
        <w:jc w:val="left"/>
      </w:pPr>
      <w:r>
        <w:rPr>
          <w:rFonts w:ascii="Calibri" w:cs="Calibri" w:eastAsia="Calibri" w:hAnsi="Calibri"/>
          <w:b w:val="false"/>
          <w:bCs w:val="false"/>
          <w:i w:val="false"/>
          <w:iCs w:val="false"/>
          <w:color w:val="1A1A1A"/>
          <w:sz w:val="22"/>
          <w:szCs w:val="22"/>
        </w:rPr>
        <w:t xml:space="preserve">Margaret Owino presented the Risk Committee's recommendations: cyber tooling investment proposal for Q2 Board consideration; standing Risk Committee agenda item; annual cyber tabletop exercise.</w:t>
      </w:r>
    </w:p>
    <w:p>
      <w:pPr>
        <w:spacing w:after="140" w:before="0" w:line="320"/>
        <w:jc w:val="left"/>
      </w:pPr>
      <w:r>
        <w:rPr>
          <w:rFonts w:ascii="Calibri" w:cs="Calibri" w:eastAsia="Calibri" w:hAnsi="Calibri"/>
          <w:b w:val="false"/>
          <w:bCs w:val="false"/>
          <w:i w:val="false"/>
          <w:iCs w:val="false"/>
          <w:color w:val="1A1A1A"/>
          <w:sz w:val="22"/>
          <w:szCs w:val="22"/>
        </w:rPr>
        <w:t xml:space="preserve">Bram Mwalo added context. He noted that Afya's cyber trajectory was consistent with patterns observable across other sectors and other portfolios; the proposed posture aligned with what he had seen working in peer environments. The recommendation was endorsed.</w:t>
      </w:r>
    </w:p>
    <w:p>
      <w:pPr>
        <w:spacing w:after="140" w:before="0" w:line="320"/>
        <w:jc w:val="left"/>
      </w:pPr>
      <w:r>
        <w:rPr>
          <w:rFonts w:ascii="Calibri" w:cs="Calibri" w:eastAsia="Calibri" w:hAnsi="Calibri"/>
          <w:b w:val="false"/>
          <w:bCs w:val="false"/>
          <w:i w:val="false"/>
          <w:iCs w:val="false"/>
          <w:color w:val="1A1A1A"/>
          <w:sz w:val="22"/>
          <w:szCs w:val="22"/>
        </w:rPr>
        <w:t xml:space="preserve">John Kibaki asked about the cost of the proposed tooling investment. The Head of IT (joined the meeting for this item) indicated initial scoping suggested KES 35-45 million across 12-18 months. Final figures would be in the Q2 Board paper.</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endorses the Risk Committee's recommendations on cyber posture: cyber tooling investment proposal to be developed for Q2 Board consideration; standing Risk Committee agenda item; annual cyber tabletop exercise; clinical record system access logging gap to be addressed.</w:t>
      </w:r>
    </w:p>
    <w:p>
      <w:pPr>
        <w:pStyle w:val="Heading2"/>
        <w:spacing w:after="160" w:before="300"/>
      </w:pPr>
      <w:r>
        <w:rPr>
          <w:rFonts w:ascii="Georgia" w:cs="Georgia" w:eastAsia="Georgia" w:hAnsi="Georgia"/>
          <w:b/>
          <w:bCs/>
          <w:color w:val="1A1A1A"/>
          <w:sz w:val="25"/>
          <w:szCs w:val="25"/>
        </w:rPr>
        <w:t xml:space="preserve">8. Insurance programme renewal</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Risk Committee recommendations: medical malpractice unchanged; cyber cover increase from USD 5m / USD 15m to USD 10m / USD 25m; D&amp;O unchanged.</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approves the insurance programme positioning and authorises the CFO to execute the May renewal accordingly.</w:t>
      </w:r>
    </w:p>
    <w:p>
      <w:pPr>
        <w:pStyle w:val="Heading2"/>
        <w:spacing w:after="160" w:before="300"/>
      </w:pPr>
      <w:r>
        <w:rPr>
          <w:rFonts w:ascii="Georgia" w:cs="Georgia" w:eastAsia="Georgia" w:hAnsi="Georgia"/>
          <w:b/>
          <w:bCs/>
          <w:color w:val="1A1A1A"/>
          <w:sz w:val="25"/>
          <w:szCs w:val="25"/>
        </w:rPr>
        <w:t xml:space="preserve">9. Audit Committee update</w:t>
      </w:r>
    </w:p>
    <w:p>
      <w:pPr>
        <w:spacing w:after="140" w:before="0" w:line="320"/>
        <w:jc w:val="left"/>
      </w:pPr>
      <w:r>
        <w:rPr>
          <w:rFonts w:ascii="Calibri" w:cs="Calibri" w:eastAsia="Calibri" w:hAnsi="Calibri"/>
          <w:b w:val="false"/>
          <w:bCs w:val="false"/>
          <w:i w:val="false"/>
          <w:iCs w:val="false"/>
          <w:color w:val="1A1A1A"/>
          <w:sz w:val="22"/>
          <w:szCs w:val="22"/>
        </w:rPr>
        <w:t xml:space="preserve">Joyce Kariuki (Audit Committee Chair) presented the Q1 Audit Committee summary. PwC engagement as IPO auditor confirmed; financial reporting refresh to IPO standards on track for June completion. No material findings to report.</w:t>
      </w:r>
    </w:p>
    <w:p>
      <w:pPr>
        <w:pStyle w:val="Heading2"/>
        <w:spacing w:after="160" w:before="300"/>
      </w:pPr>
      <w:r>
        <w:rPr>
          <w:rFonts w:ascii="Georgia" w:cs="Georgia" w:eastAsia="Georgia" w:hAnsi="Georgia"/>
          <w:b/>
          <w:bCs/>
          <w:color w:val="1A1A1A"/>
          <w:sz w:val="25"/>
          <w:szCs w:val="25"/>
        </w:rPr>
        <w:t xml:space="preserve">10. Nominations &amp; Governance Committee update</w:t>
      </w:r>
    </w:p>
    <w:p>
      <w:pPr>
        <w:spacing w:after="140" w:before="0" w:line="320"/>
        <w:jc w:val="left"/>
      </w:pPr>
      <w:r>
        <w:rPr>
          <w:rFonts w:ascii="Calibri" w:cs="Calibri" w:eastAsia="Calibri" w:hAnsi="Calibri"/>
          <w:b w:val="false"/>
          <w:bCs w:val="false"/>
          <w:i w:val="false"/>
          <w:iCs w:val="false"/>
          <w:color w:val="1A1A1A"/>
          <w:sz w:val="22"/>
          <w:szCs w:val="22"/>
        </w:rPr>
        <w:t xml:space="preserve">Patrick Mwangi presented. Two matters: Board succession planning for the IPO context (long-term work, will be substantive item at September Board); refresh of director skills matrix (in progress, will be presented at June Board).</w:t>
      </w:r>
    </w:p>
    <w:p>
      <w:pPr>
        <w:pStyle w:val="Heading2"/>
        <w:spacing w:after="160" w:before="300"/>
      </w:pPr>
      <w:r>
        <w:rPr>
          <w:rFonts w:ascii="Georgia" w:cs="Georgia" w:eastAsia="Georgia" w:hAnsi="Georgia"/>
          <w:b/>
          <w:bCs/>
          <w:color w:val="1A1A1A"/>
          <w:sz w:val="25"/>
          <w:szCs w:val="25"/>
        </w:rPr>
        <w:t xml:space="preserve">11. IPO readiness update</w:t>
      </w:r>
    </w:p>
    <w:p>
      <w:pPr>
        <w:spacing w:after="140" w:before="0" w:line="320"/>
        <w:jc w:val="left"/>
      </w:pPr>
      <w:r>
        <w:rPr>
          <w:rFonts w:ascii="Calibri" w:cs="Calibri" w:eastAsia="Calibri" w:hAnsi="Calibri"/>
          <w:b w:val="false"/>
          <w:bCs w:val="false"/>
          <w:i w:val="false"/>
          <w:iCs w:val="false"/>
          <w:color w:val="1A1A1A"/>
          <w:sz w:val="22"/>
          <w:szCs w:val="22"/>
        </w:rPr>
        <w:t xml:space="preserve">The CEO summarised IPO readiness milestones. H2 2027 timeline remains achievable. Q2 milestones: Tanzania expansion capital plan closure; financial reporting refresh; first formal IPO readiness review by Standard Bank in July.</w:t>
      </w:r>
    </w:p>
    <w:p>
      <w:pPr>
        <w:pStyle w:val="Heading2"/>
        <w:spacing w:after="160" w:before="300"/>
      </w:pPr>
      <w:r>
        <w:rPr>
          <w:rFonts w:ascii="Georgia" w:cs="Georgia" w:eastAsia="Georgia" w:hAnsi="Georgia"/>
          <w:b/>
          <w:bCs/>
          <w:color w:val="1A1A1A"/>
          <w:sz w:val="25"/>
          <w:szCs w:val="25"/>
        </w:rPr>
        <w:t xml:space="preserve">12. Other matters</w:t>
      </w:r>
    </w:p>
    <w:p>
      <w:pPr>
        <w:spacing w:after="140" w:before="0" w:line="320"/>
        <w:jc w:val="left"/>
      </w:pPr>
      <w:r>
        <w:rPr>
          <w:rFonts w:ascii="Calibri" w:cs="Calibri" w:eastAsia="Calibri" w:hAnsi="Calibri"/>
          <w:b w:val="false"/>
          <w:bCs w:val="false"/>
          <w:i w:val="false"/>
          <w:iCs w:val="false"/>
          <w:color w:val="1A1A1A"/>
          <w:sz w:val="22"/>
          <w:szCs w:val="22"/>
        </w:rPr>
        <w:t xml:space="preserve">None tabled.</w:t>
      </w:r>
    </w:p>
    <w:p>
      <w:pPr>
        <w:pStyle w:val="Heading2"/>
        <w:spacing w:after="160" w:before="300"/>
      </w:pPr>
      <w:r>
        <w:rPr>
          <w:rFonts w:ascii="Georgia" w:cs="Georgia" w:eastAsia="Georgia" w:hAnsi="Georgia"/>
          <w:b/>
          <w:bCs/>
          <w:color w:val="1A1A1A"/>
          <w:sz w:val="25"/>
          <w:szCs w:val="25"/>
        </w:rPr>
        <w:t xml:space="preserve">13.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Next Board meeting: Friday 26 June 2026 (special focus on cyber tooling investment proposal). Subsequent quarterly Board meeting: Friday 25 September 2026.</w:t>
      </w:r>
    </w:p>
    <w:p>
      <w:pPr>
        <w:pStyle w:val="Heading2"/>
        <w:spacing w:after="160" w:before="300"/>
      </w:pPr>
      <w:r>
        <w:rPr>
          <w:rFonts w:ascii="Georgia" w:cs="Georgia" w:eastAsia="Georgia" w:hAnsi="Georgia"/>
          <w:b/>
          <w:bCs/>
          <w:color w:val="1A1A1A"/>
          <w:sz w:val="25"/>
          <w:szCs w:val="25"/>
        </w:rPr>
        <w:t xml:space="preserve">14. In camera session</w:t>
      </w:r>
    </w:p>
    <w:p>
      <w:pPr>
        <w:spacing w:after="140" w:before="0" w:line="320"/>
        <w:jc w:val="left"/>
      </w:pPr>
      <w:r>
        <w:rPr>
          <w:rFonts w:ascii="Calibri" w:cs="Calibri" w:eastAsia="Calibri" w:hAnsi="Calibri"/>
          <w:b w:val="false"/>
          <w:bCs w:val="false"/>
          <w:i w:val="false"/>
          <w:iCs w:val="false"/>
          <w:color w:val="1A1A1A"/>
          <w:sz w:val="22"/>
          <w:szCs w:val="22"/>
        </w:rPr>
        <w:t xml:space="preserve">The Board moved to in camera session at 15:00 covering CEO performance discussion (without management) and IPO timeline review. In camera minutes recorded separately.</w:t>
      </w:r>
    </w:p>
    <w:p>
      <w:pPr>
        <w:pStyle w:val="Heading2"/>
        <w:spacing w:after="160" w:before="300"/>
      </w:pPr>
      <w:r>
        <w:rPr>
          <w:rFonts w:ascii="Georgia" w:cs="Georgia" w:eastAsia="Georgia" w:hAnsi="Georgia"/>
          <w:b/>
          <w:bCs/>
          <w:color w:val="1A1A1A"/>
          <w:sz w:val="25"/>
          <w:szCs w:val="25"/>
        </w:rPr>
        <w:t xml:space="preserve">15. Closing</w:t>
      </w:r>
    </w:p>
    <w:p>
      <w:pPr>
        <w:spacing w:after="140" w:before="0" w:line="320"/>
        <w:jc w:val="left"/>
      </w:pPr>
      <w:r>
        <w:rPr>
          <w:rFonts w:ascii="Calibri" w:cs="Calibri" w:eastAsia="Calibri" w:hAnsi="Calibri"/>
          <w:b w:val="false"/>
          <w:bCs w:val="false"/>
          <w:i w:val="false"/>
          <w:iCs w:val="false"/>
          <w:color w:val="1A1A1A"/>
          <w:sz w:val="22"/>
          <w:szCs w:val="22"/>
        </w:rPr>
        <w:t xml:space="preserve">Meeting closed at 16:00.</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Dr Joseph Muiruri, Board Chair                          Date</w:t>
      </w:r>
    </w:p>
    <w:p>
      <w:r>
        <w:br w:type="page"/>
      </w:r>
    </w:p>
    <w:p>
      <w:pPr>
        <w:spacing w:after="2000"/>
      </w:pPr>
      <w:r>
        <w:t xml:space="preserve"/>
      </w:r>
    </w:p>
    <w:p>
      <w:pPr>
        <w:spacing w:after="240"/>
        <w:jc w:val="center"/>
      </w:pPr>
      <w:r>
        <w:rPr>
          <w:rFonts w:ascii="Georgia" w:cs="Georgia" w:eastAsia="Georgia" w:hAnsi="Georgia"/>
          <w:b/>
          <w:bCs/>
          <w:color w:val="1A1A1A"/>
          <w:spacing w:val="80"/>
          <w:sz w:val="56"/>
          <w:szCs w:val="56"/>
        </w:rPr>
        <w:t xml:space="preserve">SECTION B</w:t>
      </w:r>
    </w:p>
    <w:p>
      <w:pPr>
        <w:spacing w:after="600"/>
        <w:jc w:val="center"/>
      </w:pPr>
      <w:r>
        <w:rPr>
          <w:rFonts w:ascii="Georgia" w:cs="Georgia" w:eastAsia="Georgia" w:hAnsi="Georgia"/>
          <w:i/>
          <w:iCs/>
          <w:color w:val="2B2B2A"/>
          <w:sz w:val="24"/>
          <w:szCs w:val="24"/>
        </w:rPr>
        <w:t xml:space="preserve">Sendwa Logistics</w:t>
      </w:r>
    </w:p>
    <w:p>
      <w:pPr>
        <w:pStyle w:val="Heading1"/>
        <w:spacing w:after="220" w:before="440"/>
      </w:pPr>
      <w:r>
        <w:rPr>
          <w:rFonts w:ascii="Georgia" w:cs="Georgia" w:eastAsia="Georgia" w:hAnsi="Georgia"/>
          <w:b/>
          <w:bCs/>
          <w:color w:val="1A1A1A"/>
          <w:sz w:val="34"/>
          <w:szCs w:val="34"/>
        </w:rPr>
        <w:t xml:space="preserve">About Sendwa Logistics</w:t>
      </w:r>
    </w:p>
    <w:p>
      <w:pPr>
        <w:spacing w:after="240" w:before="0" w:line="320"/>
        <w:jc w:val="left"/>
      </w:pPr>
      <w:r>
        <w:rPr>
          <w:rFonts w:ascii="Calibri" w:cs="Calibri" w:eastAsia="Calibri" w:hAnsi="Calibri"/>
          <w:b w:val="false"/>
          <w:bCs w:val="false"/>
          <w:i w:val="false"/>
          <w:iCs w:val="false"/>
          <w:color w:val="1A1A1A"/>
          <w:sz w:val="22"/>
          <w:szCs w:val="22"/>
        </w:rPr>
        <w:t xml:space="preserve">Sendwa Logistics is a pre-IPO pan-African logistics operator with freight, warehousing, and last-mile services across Kenya, Uganda, Tanzania, Rwanda, Ethiopia, and Zambia. IPO targeted for late 2026. The Board comprises the founder-CEO, Chair, COO, and six independent directors (including Bram Mwalo). Three Board committees: Audit (Chair: Linda Mwende, Members: Bram Mwalo, Patrick Owuor); Nominations (Chair: Bram Mwalo, Members: Linda Mwende, Christine Ngugi); Investment &amp; Capital (Chair: Patrick Owuor).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E2B" w:sz="10" w:space="0"/>
              <w:left w:val="single" w:color="D9D3C1" w:sz="4" w:space="0"/>
              <w:bottom w:val="single" w:color="D9D3C1" w:sz="4" w:space="0"/>
              <w:right w:val="single" w:color="D9D3C1" w:sz="4" w:space="0"/>
            </w:tcBorders>
            <w:shd w:fill="F2EDE0" w:val="clear"/>
            <w:tcMar>
              <w:top w:type="dxa" w:w="200"/>
              <w:left w:type="dxa" w:w="260"/>
              <w:bottom w:type="dxa" w:w="200"/>
              <w:right w:type="dxa" w:w="260"/>
            </w:tcMar>
          </w:tcPr>
          <w:p>
            <w:pPr>
              <w:spacing w:after="100"/>
            </w:pPr>
            <w:r>
              <w:rPr>
                <w:rFonts w:ascii="Calibri" w:cs="Calibri" w:eastAsia="Calibri" w:hAnsi="Calibri"/>
                <w:b/>
                <w:bCs/>
                <w:color w:val="1A1A1A"/>
                <w:sz w:val="20"/>
                <w:szCs w:val="20"/>
              </w:rPr>
              <w:t xml:space="preserve">Bram's roles at Sendwa</w:t>
            </w:r>
          </w:p>
          <w:p>
            <w:pPr>
              <w:spacing w:after="0" w:line="310"/>
            </w:pPr>
            <w:r>
              <w:rPr>
                <w:rFonts w:ascii="Calibri" w:cs="Calibri" w:eastAsia="Calibri" w:hAnsi="Calibri"/>
                <w:color w:val="1A1A1A"/>
                <w:sz w:val="21"/>
                <w:szCs w:val="21"/>
              </w:rPr>
              <w:t xml:space="preserve">Bram chairs the Nominations Committee and is a member of the Audit Committee. The Nominations Committee at Sendwa has elevated importance because of the founder-CEO succession question that Bram has been navigating since Q4 2025 — the founder has signalled retirement post-IPO, and the succession question is a Bram-led conversation. The Audit Committee paper below reflects his Audit Member role; the Nominations Committee paper reflects his Chair role.</w:t>
            </w:r>
          </w:p>
        </w:tc>
      </w:tr>
    </w:tbl>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B1 OF 5</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Q1 2026 Board Pack — Sendwa Logistics</w:t>
      </w:r>
    </w:p>
    <w:p>
      <w:pPr>
        <w:spacing w:after="240"/>
      </w:pPr>
      <w:r>
        <w:rPr>
          <w:rFonts w:ascii="Georgia" w:cs="Georgia" w:eastAsia="Georgia" w:hAnsi="Georgia"/>
          <w:i/>
          <w:iCs/>
          <w:color w:val="2B2B2A"/>
          <w:sz w:val="26"/>
          <w:szCs w:val="26"/>
        </w:rPr>
        <w:t xml:space="preserve">For the Board meeting of 30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Period</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Q1 2026 (January – March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Submitted by</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Samuel Kimotho, Founder &amp; Chief Executive Officer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Currency</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USD</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 submitted</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23 April 2026</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CEO's report</w:t>
      </w:r>
    </w:p>
    <w:p>
      <w:pPr>
        <w:spacing w:after="140" w:before="0" w:line="320"/>
        <w:jc w:val="left"/>
      </w:pPr>
      <w:r>
        <w:rPr>
          <w:rFonts w:ascii="Calibri" w:cs="Calibri" w:eastAsia="Calibri" w:hAnsi="Calibri"/>
          <w:b w:val="false"/>
          <w:bCs w:val="false"/>
          <w:i w:val="false"/>
          <w:iCs w:val="false"/>
          <w:color w:val="1A1A1A"/>
          <w:sz w:val="22"/>
          <w:szCs w:val="22"/>
        </w:rPr>
        <w:t xml:space="preserve">Q1 2026 was the strongest financial quarter in Sendwa's history. Revenue of USD 63.6 million was ahead of plan by 4.5%; EBITDA reached USD 8.7 million at a margin of 13.6% — the highest quarterly margin we've delivered. Operations performed well across all six countries; on-time delivery improved to 87% in March; fleet utilisation reached 77%. The IPO readiness work continues to track to plan.</w:t>
      </w:r>
    </w:p>
    <w:p>
      <w:pPr>
        <w:spacing w:after="140" w:before="0" w:line="320"/>
        <w:jc w:val="left"/>
      </w:pPr>
      <w:r>
        <w:rPr>
          <w:rFonts w:ascii="Calibri" w:cs="Calibri" w:eastAsia="Calibri" w:hAnsi="Calibri"/>
          <w:b w:val="false"/>
          <w:bCs w:val="false"/>
          <w:i w:val="false"/>
          <w:iCs w:val="false"/>
          <w:color w:val="1A1A1A"/>
          <w:sz w:val="22"/>
          <w:szCs w:val="22"/>
        </w:rPr>
        <w:t xml:space="preserve">Three matters dominate the Q1 Board agenda. First, the IPO readiness milestone update — we are now within 6-9 months of formal IPO process initiation, and the structuring decisions made in Q2 will determine the timing window. Second, the cross-border tax disputes accumulating across our jurisdictions — eight open disputes at Q1 close versus three a year ago, with cumulative disputed obligations of approximately USD 8 million. Third, the management succession question that the Nominations Committee has been working on since late 2025.</w:t>
      </w:r>
    </w:p>
    <w:p>
      <w:pPr>
        <w:spacing w:after="140" w:before="0" w:line="320"/>
        <w:jc w:val="left"/>
      </w:pPr>
      <w:r>
        <w:rPr>
          <w:rFonts w:ascii="Calibri" w:cs="Calibri" w:eastAsia="Calibri" w:hAnsi="Calibri"/>
          <w:b w:val="false"/>
          <w:bCs w:val="false"/>
          <w:i w:val="false"/>
          <w:iCs w:val="false"/>
          <w:color w:val="1A1A1A"/>
          <w:sz w:val="22"/>
          <w:szCs w:val="22"/>
        </w:rPr>
        <w:t xml:space="preserve">On the third point: I want to acknowledge openly that as founder-CEO I have signalled my intention to step back from the CEO role following the IPO, and the Nominations Committee — chaired by Bram Mwalo — has begun the formal succession process. This Q1 Board pack includes the first formal succession progress paper from the Nominations Committee. I welcome the work and the discipline; it is necessary.</w:t>
      </w:r>
    </w:p>
    <w:p>
      <w:pPr>
        <w:pStyle w:val="Heading2"/>
        <w:spacing w:after="160" w:before="300"/>
      </w:pPr>
      <w:r>
        <w:rPr>
          <w:rFonts w:ascii="Georgia" w:cs="Georgia" w:eastAsia="Georgia" w:hAnsi="Georgia"/>
          <w:b/>
          <w:bCs/>
          <w:color w:val="1A1A1A"/>
          <w:sz w:val="25"/>
          <w:szCs w:val="25"/>
        </w:rPr>
        <w:t xml:space="preserve">Financial performance — Q1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Metric</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2026</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2026 plan</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Variance</w:t>
            </w:r>
          </w:p>
        </w:tc>
        <w:tc>
          <w:tcPr>
            <w:tcW w:type="dxa" w:w="1872"/>
            <w:tcBorders>
              <w:top w:val="single" w:color="D9D3C1" w:sz="4"/>
              <w:left w:val="single" w:color="D9D3C1" w:sz="4"/>
              <w:bottom w:val="single" w:color="D9D3C1" w:sz="4"/>
              <w:right w:val="single" w:color="D9D3C1" w:sz="4"/>
            </w:tcBorders>
            <w:shd w:fill="1A1A1A"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Q1 2025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Revenue (USD m)</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63.6</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60.9</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+4.5%</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55.4</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EBITDA (USD m)</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8.67</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7.95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6.83</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EBITDA margin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13.6%</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13.1%</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+50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12.3%</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Shipments (000s)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935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905</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+3.3%</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850</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On-time delivery %</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85.3%</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85.0%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+30 bps</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82.5%</w:t>
            </w:r>
          </w:p>
        </w:tc>
      </w:tr>
      <w:tr>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Fleet utilisation %</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74.7%</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73.0%</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+170 bps</w:t>
            </w:r>
          </w:p>
        </w:tc>
        <w:tc>
          <w:tcPr>
            <w:tcW w:type="dxa" w:w="1872"/>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70.5%</w:t>
            </w:r>
          </w:p>
        </w:tc>
      </w:tr>
      <w:tr>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Average revenue per shipment (USD)</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68.0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67.3</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+1.0%</w:t>
            </w:r>
          </w:p>
        </w:tc>
        <w:tc>
          <w:tcPr>
            <w:tcW w:type="dxa" w:w="1872"/>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65.2</w:t>
            </w:r>
          </w:p>
        </w:tc>
      </w:tr>
    </w:tbl>
    <w:p>
      <w:pPr>
        <w:spacing w:after="18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Q1 financial performance was ahead of plan across all key metrics. Revenue growth of 14.8% year-on-year reflects volume growth, modest pricing improvement, and continued mix improvement (e-commerce last-mile growing as a share of revenue).</w:t>
      </w:r>
    </w:p>
    <w:p>
      <w:pPr>
        <w:pStyle w:val="Heading2"/>
        <w:spacing w:after="160" w:before="300"/>
      </w:pPr>
      <w:r>
        <w:rPr>
          <w:rFonts w:ascii="Georgia" w:cs="Georgia" w:eastAsia="Georgia" w:hAnsi="Georgia"/>
          <w:b/>
          <w:bCs/>
          <w:color w:val="1A1A1A"/>
          <w:sz w:val="25"/>
          <w:szCs w:val="25"/>
        </w:rPr>
        <w:t xml:space="preserve">Operational performance</w:t>
      </w:r>
    </w:p>
    <w:p>
      <w:pPr>
        <w:pStyle w:val="Heading3"/>
        <w:spacing w:after="120" w:before="220"/>
      </w:pPr>
      <w:r>
        <w:rPr>
          <w:rFonts w:ascii="Calibri" w:cs="Calibri" w:eastAsia="Calibri" w:hAnsi="Calibri"/>
          <w:b/>
          <w:bCs/>
          <w:color w:val="1A1A1A"/>
          <w:sz w:val="22"/>
          <w:szCs w:val="22"/>
        </w:rPr>
        <w:t xml:space="preserve">Country operations</w:t>
      </w:r>
    </w:p>
    <w:p>
      <w:pPr>
        <w:spacing w:after="140" w:before="0" w:line="320"/>
        <w:jc w:val="left"/>
      </w:pPr>
      <w:r>
        <w:rPr>
          <w:rFonts w:ascii="Calibri" w:cs="Calibri" w:eastAsia="Calibri" w:hAnsi="Calibri"/>
          <w:b w:val="false"/>
          <w:bCs w:val="false"/>
          <w:i w:val="false"/>
          <w:iCs w:val="false"/>
          <w:color w:val="1A1A1A"/>
          <w:sz w:val="22"/>
          <w:szCs w:val="22"/>
        </w:rPr>
        <w:t xml:space="preserve">Country mix Q1 2026: Kenya 38% of revenue, Uganda 18%, Tanzania 16%, Rwanda 12%, Ethiopia 9%, Zambia 7%. Kenya share has declined from 42% one year ago as smaller markets scale. Tanzania growth was the strongest in Q1 (+22% year-on-year).</w:t>
      </w:r>
    </w:p>
    <w:p>
      <w:pPr>
        <w:spacing w:after="140" w:before="0" w:line="320"/>
        <w:jc w:val="left"/>
      </w:pPr>
      <w:r>
        <w:rPr>
          <w:rFonts w:ascii="Calibri" w:cs="Calibri" w:eastAsia="Calibri" w:hAnsi="Calibri"/>
          <w:b w:val="false"/>
          <w:bCs w:val="false"/>
          <w:i w:val="false"/>
          <w:iCs w:val="false"/>
          <w:color w:val="1A1A1A"/>
          <w:sz w:val="22"/>
          <w:szCs w:val="22"/>
        </w:rPr>
        <w:t xml:space="preserve">The Tanzania transport infrastructure incident in February (a cross-border route disruption affecting cargo flows from Mombasa to Dar es Salaam for 11 days) caused short-term operational disruption but was contained. Insurance claim filed; recovery expected in Q2. The incident did not affect Q1 financial performance materially.</w:t>
      </w:r>
    </w:p>
    <w:p>
      <w:pPr>
        <w:pStyle w:val="Heading3"/>
        <w:spacing w:after="120" w:before="220"/>
      </w:pPr>
      <w:r>
        <w:rPr>
          <w:rFonts w:ascii="Calibri" w:cs="Calibri" w:eastAsia="Calibri" w:hAnsi="Calibri"/>
          <w:b/>
          <w:bCs/>
          <w:color w:val="1A1A1A"/>
          <w:sz w:val="22"/>
          <w:szCs w:val="22"/>
        </w:rPr>
        <w:t xml:space="preserve">Service quality</w:t>
      </w:r>
    </w:p>
    <w:p>
      <w:pPr>
        <w:spacing w:after="140" w:before="0" w:line="320"/>
        <w:jc w:val="left"/>
      </w:pPr>
      <w:r>
        <w:rPr>
          <w:rFonts w:ascii="Calibri" w:cs="Calibri" w:eastAsia="Calibri" w:hAnsi="Calibri"/>
          <w:b w:val="false"/>
          <w:bCs w:val="false"/>
          <w:i w:val="false"/>
          <w:iCs w:val="false"/>
          <w:color w:val="1A1A1A"/>
          <w:sz w:val="22"/>
          <w:szCs w:val="22"/>
        </w:rPr>
        <w:t xml:space="preserve">On-time delivery improved to 87% in March — strongest monthly reading in the past two years. The improvement reflects the route optimisation programme that was implemented in Q4 2025 and is now mature.</w:t>
      </w:r>
    </w:p>
    <w:p>
      <w:pPr>
        <w:spacing w:after="140" w:before="0" w:line="320"/>
        <w:jc w:val="left"/>
      </w:pPr>
      <w:r>
        <w:rPr>
          <w:rFonts w:ascii="Calibri" w:cs="Calibri" w:eastAsia="Calibri" w:hAnsi="Calibri"/>
          <w:b w:val="false"/>
          <w:bCs w:val="false"/>
          <w:i w:val="false"/>
          <w:iCs w:val="false"/>
          <w:color w:val="1A1A1A"/>
          <w:sz w:val="22"/>
          <w:szCs w:val="22"/>
        </w:rPr>
        <w:t xml:space="preserve">Insurance claims filed Q1: 23 (versus 18 in Q4 2025). Most claims relate to the February Tanzania incident; claims excluding that event would be at trend.</w:t>
      </w:r>
    </w:p>
    <w:p>
      <w:pPr>
        <w:pStyle w:val="Heading2"/>
        <w:spacing w:after="160" w:before="300"/>
      </w:pPr>
      <w:r>
        <w:rPr>
          <w:rFonts w:ascii="Georgia" w:cs="Georgia" w:eastAsia="Georgia" w:hAnsi="Georgia"/>
          <w:b/>
          <w:bCs/>
          <w:color w:val="1A1A1A"/>
          <w:sz w:val="25"/>
          <w:szCs w:val="25"/>
        </w:rPr>
        <w:t xml:space="preserve">IPO readiness</w:t>
      </w:r>
    </w:p>
    <w:p>
      <w:pPr>
        <w:spacing w:after="140" w:before="0" w:line="320"/>
        <w:jc w:val="left"/>
      </w:pPr>
      <w:r>
        <w:rPr>
          <w:rFonts w:ascii="Calibri" w:cs="Calibri" w:eastAsia="Calibri" w:hAnsi="Calibri"/>
          <w:b w:val="false"/>
          <w:bCs w:val="false"/>
          <w:i w:val="false"/>
          <w:iCs w:val="false"/>
          <w:color w:val="1A1A1A"/>
          <w:sz w:val="22"/>
          <w:szCs w:val="22"/>
        </w:rPr>
        <w:t xml:space="preserve">IPO target: H2 2026 listing on the Nairobi Securities Exchange with secondary listings under consideration for the Johannesburg Stock Exchange. Status of Q1 milestones:</w:t>
      </w:r>
    </w:p>
    <w:p>
      <w:pPr>
        <w:pStyle w:val="ListParagraph"/>
        <w:numPr>
          <w:ilvl w:val="0"/>
          <w:numId w:val="2"/>
        </w:numPr>
        <w:spacing w:after="90" w:line="320"/>
      </w:pPr>
      <w:r>
        <w:rPr>
          <w:rFonts w:ascii="Calibri" w:cs="Calibri" w:eastAsia="Calibri" w:hAnsi="Calibri"/>
          <w:color w:val="1A1A1A"/>
          <w:sz w:val="22"/>
          <w:szCs w:val="22"/>
        </w:rPr>
        <w:t xml:space="preserve">Financial reporting refresh to IPO standards: completed for Q1 2026; PwC sign-off received.</w:t>
      </w:r>
    </w:p>
    <w:p>
      <w:pPr>
        <w:pStyle w:val="ListParagraph"/>
        <w:numPr>
          <w:ilvl w:val="0"/>
          <w:numId w:val="2"/>
        </w:numPr>
        <w:spacing w:after="90" w:line="320"/>
      </w:pPr>
      <w:r>
        <w:rPr>
          <w:rFonts w:ascii="Calibri" w:cs="Calibri" w:eastAsia="Calibri" w:hAnsi="Calibri"/>
          <w:color w:val="1A1A1A"/>
          <w:sz w:val="22"/>
          <w:szCs w:val="22"/>
        </w:rPr>
        <w:t xml:space="preserve">Cross-border tax disputes resolution programme: in progress (see separate item).</w:t>
      </w:r>
    </w:p>
    <w:p>
      <w:pPr>
        <w:pStyle w:val="ListParagraph"/>
        <w:numPr>
          <w:ilvl w:val="0"/>
          <w:numId w:val="2"/>
        </w:numPr>
        <w:spacing w:after="90" w:line="320"/>
      </w:pPr>
      <w:r>
        <w:rPr>
          <w:rFonts w:ascii="Calibri" w:cs="Calibri" w:eastAsia="Calibri" w:hAnsi="Calibri"/>
          <w:color w:val="1A1A1A"/>
          <w:sz w:val="22"/>
          <w:szCs w:val="22"/>
        </w:rPr>
        <w:t xml:space="preserve">Management succession framework: progressing (see Nominations Committee paper).</w:t>
      </w:r>
    </w:p>
    <w:p>
      <w:pPr>
        <w:pStyle w:val="ListParagraph"/>
        <w:numPr>
          <w:ilvl w:val="0"/>
          <w:numId w:val="2"/>
        </w:numPr>
        <w:spacing w:after="90" w:line="320"/>
      </w:pPr>
      <w:r>
        <w:rPr>
          <w:rFonts w:ascii="Calibri" w:cs="Calibri" w:eastAsia="Calibri" w:hAnsi="Calibri"/>
          <w:color w:val="1A1A1A"/>
          <w:sz w:val="22"/>
          <w:szCs w:val="22"/>
        </w:rPr>
        <w:t xml:space="preserve">Anchor investor conversations: initial conversations completed with three institutional investors; positive reception.</w:t>
      </w:r>
    </w:p>
    <w:p>
      <w:pPr>
        <w:pStyle w:val="ListParagraph"/>
        <w:numPr>
          <w:ilvl w:val="0"/>
          <w:numId w:val="2"/>
        </w:numPr>
        <w:spacing w:after="90" w:line="320"/>
      </w:pPr>
      <w:r>
        <w:rPr>
          <w:rFonts w:ascii="Calibri" w:cs="Calibri" w:eastAsia="Calibri" w:hAnsi="Calibri"/>
          <w:color w:val="1A1A1A"/>
          <w:sz w:val="22"/>
          <w:szCs w:val="22"/>
        </w:rPr>
        <w:t xml:space="preserve">Lead financial advisor selection: Standard Bank confirmed as lead, EFG Hermes confirmed as joint book runner.</w:t>
      </w:r>
    </w:p>
    <w:p>
      <w:pPr>
        <w:pStyle w:val="Heading2"/>
        <w:spacing w:after="160" w:before="300"/>
      </w:pPr>
      <w:r>
        <w:rPr>
          <w:rFonts w:ascii="Georgia" w:cs="Georgia" w:eastAsia="Georgia" w:hAnsi="Georgia"/>
          <w:b/>
          <w:bCs/>
          <w:color w:val="1A1A1A"/>
          <w:sz w:val="25"/>
          <w:szCs w:val="25"/>
        </w:rPr>
        <w:t xml:space="preserve">Cross-border tax disputes</w:t>
      </w:r>
    </w:p>
    <w:p>
      <w:pPr>
        <w:spacing w:after="140" w:before="0" w:line="320"/>
        <w:jc w:val="left"/>
      </w:pPr>
      <w:r>
        <w:rPr>
          <w:rFonts w:ascii="Calibri" w:cs="Calibri" w:eastAsia="Calibri" w:hAnsi="Calibri"/>
          <w:b w:val="false"/>
          <w:bCs w:val="false"/>
          <w:i w:val="false"/>
          <w:iCs w:val="false"/>
          <w:color w:val="1A1A1A"/>
          <w:sz w:val="22"/>
          <w:szCs w:val="22"/>
        </w:rPr>
        <w:t xml:space="preserve">Open cross-border tax disputes at Q1 close: 8 (versus 3 at Q1 2025 close). Cumulative disputed obligations: approximately USD 8.0 million. Distribution: Tanzania (3 disputes, USD 3.2m); Uganda (2, USD 2.1m); Rwanda (1, USD 1.5m); Ethiopia (1, USD 0.8m); Zambia (1, USD 0.4m).</w:t>
      </w:r>
    </w:p>
    <w:p>
      <w:pPr>
        <w:spacing w:after="140" w:before="0" w:line="320"/>
        <w:jc w:val="left"/>
      </w:pPr>
      <w:r>
        <w:rPr>
          <w:rFonts w:ascii="Calibri" w:cs="Calibri" w:eastAsia="Calibri" w:hAnsi="Calibri"/>
          <w:b w:val="false"/>
          <w:bCs w:val="false"/>
          <w:i w:val="false"/>
          <w:iCs w:val="false"/>
          <w:color w:val="1A1A1A"/>
          <w:sz w:val="22"/>
          <w:szCs w:val="22"/>
        </w:rPr>
        <w:t xml:space="preserve">The growth in disputes reflects two factors: (1) tax authorities in three jurisdictions have specifically increased scrutiny of cross-border logistics transfer pricing; (2) Sendwa's operations have grown to a scale that draws systematic scrutiny. The disputes themselves are not unusual for an operator at our scale and across our footprint, but the cumulative view warrants Board attention.</w:t>
      </w:r>
    </w:p>
    <w:p>
      <w:pPr>
        <w:spacing w:after="140" w:before="0" w:line="320"/>
        <w:jc w:val="left"/>
      </w:pPr>
      <w:r>
        <w:rPr>
          <w:rFonts w:ascii="Calibri" w:cs="Calibri" w:eastAsia="Calibri" w:hAnsi="Calibri"/>
          <w:b w:val="false"/>
          <w:bCs w:val="false"/>
          <w:i w:val="false"/>
          <w:iCs w:val="false"/>
          <w:color w:val="1A1A1A"/>
          <w:sz w:val="22"/>
          <w:szCs w:val="22"/>
        </w:rPr>
        <w:t xml:space="preserve">Management has commissioned a tax dispute resolution programme led by EY (engagement letter dated 12 February 2026). The programme aims to resolve 5-6 of the 8 disputes by Q3 2026 — a critical IPO readiness milestone.</w:t>
      </w:r>
    </w:p>
    <w:p>
      <w:pPr>
        <w:pStyle w:val="Heading2"/>
        <w:spacing w:after="160" w:before="300"/>
      </w:pPr>
      <w:r>
        <w:rPr>
          <w:rFonts w:ascii="Georgia" w:cs="Georgia" w:eastAsia="Georgia" w:hAnsi="Georgia"/>
          <w:b/>
          <w:bCs/>
          <w:color w:val="1A1A1A"/>
          <w:sz w:val="25"/>
          <w:szCs w:val="25"/>
        </w:rPr>
        <w:t xml:space="preserve">Management succession</w:t>
      </w:r>
    </w:p>
    <w:p>
      <w:pPr>
        <w:spacing w:after="140" w:before="0" w:line="320"/>
        <w:jc w:val="left"/>
      </w:pPr>
      <w:r>
        <w:rPr>
          <w:rFonts w:ascii="Calibri" w:cs="Calibri" w:eastAsia="Calibri" w:hAnsi="Calibri"/>
          <w:b w:val="false"/>
          <w:bCs w:val="false"/>
          <w:i w:val="false"/>
          <w:iCs w:val="false"/>
          <w:color w:val="1A1A1A"/>
          <w:sz w:val="22"/>
          <w:szCs w:val="22"/>
        </w:rPr>
        <w:t xml:space="preserve">The Nominations Committee, chaired by Bram Mwalo, has been working on the founder-CEO succession question since November 2025. The committee has now completed the executive bench mapping and gap analysis. The full Nominations Committee paper is presented separately at this Board meeting.</w:t>
      </w:r>
    </w:p>
    <w:p>
      <w:pPr>
        <w:spacing w:after="140" w:before="0" w:line="320"/>
        <w:jc w:val="left"/>
      </w:pPr>
      <w:r>
        <w:rPr>
          <w:rFonts w:ascii="Calibri" w:cs="Calibri" w:eastAsia="Calibri" w:hAnsi="Calibri"/>
          <w:b w:val="false"/>
          <w:bCs w:val="false"/>
          <w:i w:val="false"/>
          <w:iCs w:val="false"/>
          <w:color w:val="1A1A1A"/>
          <w:sz w:val="22"/>
          <w:szCs w:val="22"/>
        </w:rPr>
        <w:t xml:space="preserve">Headline: the executive bench is strong but no single individual currently combines the operational depth and cross-border relationships of the founder. The Nominations Committee's recommendation will involve a combination of internal development and external evaluation, structured to align with IPO timing. Detail in the Nominations Committee paper.</w:t>
      </w:r>
    </w:p>
    <w:p>
      <w:pPr>
        <w:pStyle w:val="Heading2"/>
        <w:spacing w:after="160" w:before="300"/>
      </w:pPr>
      <w:r>
        <w:rPr>
          <w:rFonts w:ascii="Georgia" w:cs="Georgia" w:eastAsia="Georgia" w:hAnsi="Georgia"/>
          <w:b/>
          <w:bCs/>
          <w:color w:val="1A1A1A"/>
          <w:sz w:val="25"/>
          <w:szCs w:val="25"/>
        </w:rPr>
        <w:t xml:space="preserve">Cyber and IT risk</w:t>
      </w:r>
    </w:p>
    <w:p>
      <w:pPr>
        <w:spacing w:after="140" w:before="0" w:line="320"/>
        <w:jc w:val="left"/>
      </w:pPr>
      <w:r>
        <w:rPr>
          <w:rFonts w:ascii="Calibri" w:cs="Calibri" w:eastAsia="Calibri" w:hAnsi="Calibri"/>
          <w:b w:val="false"/>
          <w:bCs w:val="false"/>
          <w:i w:val="false"/>
          <w:iCs w:val="false"/>
          <w:color w:val="1A1A1A"/>
          <w:sz w:val="22"/>
          <w:szCs w:val="22"/>
        </w:rPr>
        <w:t xml:space="preserve">Cyber attempts on freight systems grew to 332 monthly in March (versus 195 in November 2025). One cyber event with operational impact in Q1 — a phishing-driven account compromise affecting cargo tracking system access for 4 hours, contained without data loss. The Tanzania transport infrastructure incident in February was unrelated to cyber.</w:t>
      </w:r>
    </w:p>
    <w:p>
      <w:pPr>
        <w:spacing w:after="140" w:before="0" w:line="320"/>
        <w:jc w:val="left"/>
      </w:pPr>
      <w:r>
        <w:rPr>
          <w:rFonts w:ascii="Calibri" w:cs="Calibri" w:eastAsia="Calibri" w:hAnsi="Calibri"/>
          <w:b w:val="false"/>
          <w:bCs w:val="false"/>
          <w:i w:val="false"/>
          <w:iCs w:val="false"/>
          <w:color w:val="1A1A1A"/>
          <w:sz w:val="22"/>
          <w:szCs w:val="22"/>
        </w:rPr>
        <w:t xml:space="preserve">Management is developing a cyber tooling investment proposal for Q2 Board consideration, similar in scope to assessments being undertaken at peer organisations across the region.</w:t>
      </w:r>
    </w:p>
    <w:p>
      <w:pPr>
        <w:pStyle w:val="Heading2"/>
        <w:spacing w:after="160" w:before="300"/>
      </w:pPr>
      <w:r>
        <w:rPr>
          <w:rFonts w:ascii="Georgia" w:cs="Georgia" w:eastAsia="Georgia" w:hAnsi="Georgia"/>
          <w:b/>
          <w:bCs/>
          <w:color w:val="1A1A1A"/>
          <w:sz w:val="25"/>
          <w:szCs w:val="25"/>
        </w:rPr>
        <w:t xml:space="preserve">Decisions requested from the Board</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Note </w:t>
      </w:r>
      <w:r>
        <w:rPr>
          <w:rFonts w:ascii="Calibri" w:cs="Calibri" w:eastAsia="Calibri" w:hAnsi="Calibri"/>
          <w:b w:val="false"/>
          <w:bCs w:val="false"/>
          <w:i w:val="false"/>
          <w:iCs w:val="false"/>
          <w:color w:val="1A1A1A"/>
          <w:sz w:val="22"/>
          <w:szCs w:val="22"/>
        </w:rPr>
        <w:t xml:space="preserve">Q1 financial performance ahead of plan.</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Approve </w:t>
      </w:r>
      <w:r>
        <w:rPr>
          <w:rFonts w:ascii="Calibri" w:cs="Calibri" w:eastAsia="Calibri" w:hAnsi="Calibri"/>
          <w:b w:val="false"/>
          <w:bCs w:val="false"/>
          <w:i w:val="false"/>
          <w:iCs w:val="false"/>
          <w:color w:val="1A1A1A"/>
          <w:sz w:val="22"/>
          <w:szCs w:val="22"/>
        </w:rPr>
        <w:t xml:space="preserve">the EY-led cross-border tax dispute resolution programme and the Q3 resolution target.</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Receive </w:t>
      </w:r>
      <w:r>
        <w:rPr>
          <w:rFonts w:ascii="Calibri" w:cs="Calibri" w:eastAsia="Calibri" w:hAnsi="Calibri"/>
          <w:b w:val="false"/>
          <w:bCs w:val="false"/>
          <w:i w:val="false"/>
          <w:iCs w:val="false"/>
          <w:color w:val="1A1A1A"/>
          <w:sz w:val="22"/>
          <w:szCs w:val="22"/>
        </w:rPr>
        <w:t xml:space="preserve">the Nominations Committee's first formal succession progress paper.</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Note </w:t>
      </w:r>
      <w:r>
        <w:rPr>
          <w:rFonts w:ascii="Calibri" w:cs="Calibri" w:eastAsia="Calibri" w:hAnsi="Calibri"/>
          <w:b w:val="false"/>
          <w:bCs w:val="false"/>
          <w:i w:val="false"/>
          <w:iCs w:val="false"/>
          <w:color w:val="1A1A1A"/>
          <w:sz w:val="22"/>
          <w:szCs w:val="22"/>
        </w:rPr>
        <w:t xml:space="preserve">the IPO readiness milestone progress and Q2 work programme.</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Note </w:t>
      </w:r>
      <w:r>
        <w:rPr>
          <w:rFonts w:ascii="Calibri" w:cs="Calibri" w:eastAsia="Calibri" w:hAnsi="Calibri"/>
          <w:b w:val="false"/>
          <w:bCs w:val="false"/>
          <w:i w:val="false"/>
          <w:iCs w:val="false"/>
          <w:color w:val="1A1A1A"/>
          <w:sz w:val="22"/>
          <w:szCs w:val="22"/>
        </w:rPr>
        <w:t xml:space="preserve">the cyber and IT risk trajectory; Q2 Board paper to come.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B2 OF 5</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Audit Committee Paper — Q1 2026 — Sendwa Logistics</w:t>
      </w:r>
    </w:p>
    <w:p>
      <w:pPr>
        <w:spacing w:after="240"/>
      </w:pPr>
      <w:r>
        <w:rPr>
          <w:rFonts w:ascii="Georgia" w:cs="Georgia" w:eastAsia="Georgia" w:hAnsi="Georgia"/>
          <w:i/>
          <w:iCs/>
          <w:color w:val="2B2B2A"/>
          <w:sz w:val="26"/>
          <w:szCs w:val="26"/>
        </w:rPr>
        <w:t xml:space="preserve">For the Audit Committee meeting of 22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Meeting 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22 April 2026, 09:00 — 12:30</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Linda Mwende (Independent Director, Audit Committee Chair)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Members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 Patrick Owuor</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Management attendees</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Samuel Kimotho (CEO), Mary Wanjiku (CFO), James Karanja (Internal Audit), Joseph Mulumba (Tax Director)</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Standing items</w:t>
      </w:r>
    </w:p>
    <w:p>
      <w:pPr>
        <w:pStyle w:val="ListParagraph"/>
        <w:numPr>
          <w:ilvl w:val="0"/>
          <w:numId w:val="2"/>
        </w:numPr>
        <w:spacing w:after="90" w:line="320"/>
      </w:pPr>
      <w:r>
        <w:rPr>
          <w:rFonts w:ascii="Calibri" w:cs="Calibri" w:eastAsia="Calibri" w:hAnsi="Calibri"/>
          <w:color w:val="1A1A1A"/>
          <w:sz w:val="22"/>
          <w:szCs w:val="22"/>
        </w:rPr>
        <w:t xml:space="preserve">Item 1. Cross-border tax disputes — Q1 status and resolution programme</w:t>
      </w:r>
    </w:p>
    <w:p>
      <w:pPr>
        <w:pStyle w:val="ListParagraph"/>
        <w:numPr>
          <w:ilvl w:val="0"/>
          <w:numId w:val="2"/>
        </w:numPr>
        <w:spacing w:after="90" w:line="320"/>
      </w:pPr>
      <w:r>
        <w:rPr>
          <w:rFonts w:ascii="Calibri" w:cs="Calibri" w:eastAsia="Calibri" w:hAnsi="Calibri"/>
          <w:color w:val="1A1A1A"/>
          <w:sz w:val="22"/>
          <w:szCs w:val="22"/>
        </w:rPr>
        <w:t xml:space="preserve">Item 2. Q1 financial reporting — IPO readiness compliance</w:t>
      </w:r>
    </w:p>
    <w:p>
      <w:pPr>
        <w:pStyle w:val="ListParagraph"/>
        <w:numPr>
          <w:ilvl w:val="0"/>
          <w:numId w:val="2"/>
        </w:numPr>
        <w:spacing w:after="90" w:line="320"/>
      </w:pPr>
      <w:r>
        <w:rPr>
          <w:rFonts w:ascii="Calibri" w:cs="Calibri" w:eastAsia="Calibri" w:hAnsi="Calibri"/>
          <w:color w:val="1A1A1A"/>
          <w:sz w:val="22"/>
          <w:szCs w:val="22"/>
        </w:rPr>
        <w:t xml:space="preserve">Item 3. PwC IPO audit engagement and Q1 review</w:t>
      </w:r>
    </w:p>
    <w:p>
      <w:pPr>
        <w:pStyle w:val="ListParagraph"/>
        <w:numPr>
          <w:ilvl w:val="0"/>
          <w:numId w:val="2"/>
        </w:numPr>
        <w:spacing w:after="90" w:line="320"/>
      </w:pPr>
      <w:r>
        <w:rPr>
          <w:rFonts w:ascii="Calibri" w:cs="Calibri" w:eastAsia="Calibri" w:hAnsi="Calibri"/>
          <w:color w:val="1A1A1A"/>
          <w:sz w:val="22"/>
          <w:szCs w:val="22"/>
        </w:rPr>
        <w:t xml:space="preserve">Item 4. Internal Audit programme — Q1 status</w:t>
      </w:r>
    </w:p>
    <w:p>
      <w:pPr>
        <w:pStyle w:val="ListParagraph"/>
        <w:numPr>
          <w:ilvl w:val="0"/>
          <w:numId w:val="2"/>
        </w:numPr>
        <w:spacing w:after="90" w:line="320"/>
      </w:pPr>
      <w:r>
        <w:rPr>
          <w:rFonts w:ascii="Calibri" w:cs="Calibri" w:eastAsia="Calibri" w:hAnsi="Calibri"/>
          <w:color w:val="1A1A1A"/>
          <w:sz w:val="22"/>
          <w:szCs w:val="22"/>
        </w:rPr>
        <w:t xml:space="preserve">Item 5. Tanzania transport infrastructure incident — financial implications</w:t>
      </w:r>
    </w:p>
    <w:p>
      <w:pPr>
        <w:pStyle w:val="Heading2"/>
        <w:spacing w:after="160" w:before="300"/>
      </w:pPr>
      <w:r>
        <w:rPr>
          <w:rFonts w:ascii="Georgia" w:cs="Georgia" w:eastAsia="Georgia" w:hAnsi="Georgia"/>
          <w:b/>
          <w:bCs/>
          <w:color w:val="1A1A1A"/>
          <w:sz w:val="25"/>
          <w:szCs w:val="25"/>
        </w:rPr>
        <w:t xml:space="preserve">Item 1 — Cross-border tax disputes</w:t>
      </w:r>
    </w:p>
    <w:p>
      <w:pPr>
        <w:spacing w:after="140" w:before="0" w:line="320"/>
        <w:jc w:val="left"/>
      </w:pPr>
      <w:r>
        <w:rPr>
          <w:rFonts w:ascii="Calibri" w:cs="Calibri" w:eastAsia="Calibri" w:hAnsi="Calibri"/>
          <w:b w:val="false"/>
          <w:bCs w:val="false"/>
          <w:i w:val="false"/>
          <w:iCs w:val="false"/>
          <w:color w:val="1A1A1A"/>
          <w:sz w:val="22"/>
          <w:szCs w:val="22"/>
        </w:rPr>
        <w:t xml:space="preserve">Open disputes at Q1 close: 8 (USD 8.0m cumulative). The growth from 3 disputes one year ago is a material trend that warrants Audit Committee deliberation, particularly given IPO timing.</w:t>
      </w:r>
    </w:p>
    <w:p>
      <w:pPr>
        <w:spacing w:after="140" w:before="0" w:line="320"/>
        <w:jc w:val="left"/>
      </w:pPr>
      <w:r>
        <w:rPr>
          <w:rFonts w:ascii="Calibri" w:cs="Calibri" w:eastAsia="Calibri" w:hAnsi="Calibri"/>
          <w:b w:val="false"/>
          <w:bCs w:val="false"/>
          <w:i w:val="false"/>
          <w:iCs w:val="false"/>
          <w:color w:val="1A1A1A"/>
          <w:sz w:val="22"/>
          <w:szCs w:val="22"/>
        </w:rPr>
        <w:t xml:space="preserve">Management has engaged EY to lead a tax dispute resolution programme. EY's initial assessment classifies the 8 disputes into three categories: (i) 4 disputes assessed as high probability of resolution within 6 months through procedural completion or settlement (USD 3.6m); (ii) 2 disputes assessed as medium probability requiring contested negotiation (USD 2.4m); (iii) 2 disputes assessed as requiring litigation (USD 2.0m).</w:t>
      </w:r>
    </w:p>
    <w:p>
      <w:pPr>
        <w:spacing w:after="140" w:before="0" w:line="320"/>
        <w:jc w:val="left"/>
      </w:pPr>
      <w:r>
        <w:rPr>
          <w:rFonts w:ascii="Calibri" w:cs="Calibri" w:eastAsia="Calibri" w:hAnsi="Calibri"/>
          <w:b w:val="false"/>
          <w:bCs w:val="false"/>
          <w:i w:val="false"/>
          <w:iCs w:val="false"/>
          <w:color w:val="1A1A1A"/>
          <w:sz w:val="22"/>
          <w:szCs w:val="22"/>
        </w:rPr>
        <w:t xml:space="preserve">The Q3 2026 resolution target — closure of 5-6 of the 8 disputes — focuses on category (i) and one or two from category (ii). Categories (ii) and (iii) may extend beyond IPO timing, in which case appropriate IPO disclosure will be required.</w:t>
      </w:r>
    </w:p>
    <w:p>
      <w:pPr>
        <w:pStyle w:val="Heading3"/>
        <w:spacing w:after="120" w:before="220"/>
      </w:pPr>
      <w:r>
        <w:rPr>
          <w:rFonts w:ascii="Calibri" w:cs="Calibri" w:eastAsia="Calibri" w:hAnsi="Calibri"/>
          <w:b/>
          <w:bCs/>
          <w:color w:val="1A1A1A"/>
          <w:sz w:val="22"/>
          <w:szCs w:val="22"/>
        </w:rPr>
        <w:t xml:space="preserve">Audit Committee considerations</w:t>
      </w:r>
    </w:p>
    <w:p>
      <w:pPr>
        <w:pStyle w:val="ListParagraph"/>
        <w:numPr>
          <w:ilvl w:val="0"/>
          <w:numId w:val="2"/>
        </w:numPr>
        <w:spacing w:after="90" w:line="320"/>
      </w:pPr>
      <w:r>
        <w:rPr>
          <w:rFonts w:ascii="Calibri" w:cs="Calibri" w:eastAsia="Calibri" w:hAnsi="Calibri"/>
          <w:color w:val="1A1A1A"/>
          <w:sz w:val="22"/>
          <w:szCs w:val="22"/>
        </w:rPr>
        <w:t xml:space="preserve">The provisioning treatment of the disputes in Q1 financial statements: USD 4.0 million provided (50% of cumulative); the remaining USD 4.0 million treated as contingent liability. PwC has reviewed and concurs with the treatment.</w:t>
      </w:r>
    </w:p>
    <w:p>
      <w:pPr>
        <w:pStyle w:val="ListParagraph"/>
        <w:numPr>
          <w:ilvl w:val="0"/>
          <w:numId w:val="2"/>
        </w:numPr>
        <w:spacing w:after="90" w:line="320"/>
      </w:pPr>
      <w:r>
        <w:rPr>
          <w:rFonts w:ascii="Calibri" w:cs="Calibri" w:eastAsia="Calibri" w:hAnsi="Calibri"/>
          <w:color w:val="1A1A1A"/>
          <w:sz w:val="22"/>
          <w:szCs w:val="22"/>
        </w:rPr>
        <w:t xml:space="preserve">The IPO disclosure approach: full disclosure of all 8 disputes in the IPO prospectus is the management proposal. Audit Committee perspective: this is the only acceptable approach. Selective disclosure would create restatement risk post-IPO.</w:t>
      </w:r>
    </w:p>
    <w:p>
      <w:pPr>
        <w:pStyle w:val="ListParagraph"/>
        <w:numPr>
          <w:ilvl w:val="0"/>
          <w:numId w:val="2"/>
        </w:numPr>
        <w:spacing w:after="90" w:line="320"/>
      </w:pPr>
      <w:r>
        <w:rPr>
          <w:rFonts w:ascii="Calibri" w:cs="Calibri" w:eastAsia="Calibri" w:hAnsi="Calibri"/>
          <w:color w:val="1A1A1A"/>
          <w:sz w:val="22"/>
          <w:szCs w:val="22"/>
        </w:rPr>
        <w:t xml:space="preserve">The reputational consideration: tax disputes accumulating in advance of an IPO will draw analyst attention and may affect pricing. Mitigation: clear narrative of the structural drivers (tax authority scrutiny intensification regionally; Sendwa operating at scale requiring systematic resolution); and visible progress on resolution by IPO timing.</w:t>
      </w:r>
    </w:p>
    <w:p>
      <w:pPr>
        <w:pStyle w:val="Heading3"/>
        <w:spacing w:after="120" w:before="220"/>
      </w:pPr>
      <w:r>
        <w:rPr>
          <w:rFonts w:ascii="Calibri" w:cs="Calibri" w:eastAsia="Calibri" w:hAnsi="Calibri"/>
          <w:b/>
          <w:bCs/>
          <w:color w:val="1A1A1A"/>
          <w:sz w:val="22"/>
          <w:szCs w:val="22"/>
        </w:rPr>
        <w:t xml:space="preserve">Audit Committee recommendation</w:t>
      </w:r>
    </w:p>
    <w:p>
      <w:pPr>
        <w:pStyle w:val="ListParagraph"/>
        <w:numPr>
          <w:ilvl w:val="0"/>
          <w:numId w:val="2"/>
        </w:numPr>
        <w:spacing w:after="90" w:line="320"/>
      </w:pPr>
      <w:r>
        <w:rPr>
          <w:rFonts w:ascii="Calibri" w:cs="Calibri" w:eastAsia="Calibri" w:hAnsi="Calibri"/>
          <w:color w:val="1A1A1A"/>
          <w:sz w:val="22"/>
          <w:szCs w:val="22"/>
        </w:rPr>
        <w:t xml:space="preserve">Endorse the EY-led resolution programme and the Q3 resolution target.</w:t>
      </w:r>
    </w:p>
    <w:p>
      <w:pPr>
        <w:pStyle w:val="ListParagraph"/>
        <w:numPr>
          <w:ilvl w:val="0"/>
          <w:numId w:val="2"/>
        </w:numPr>
        <w:spacing w:after="90" w:line="320"/>
      </w:pPr>
      <w:r>
        <w:rPr>
          <w:rFonts w:ascii="Calibri" w:cs="Calibri" w:eastAsia="Calibri" w:hAnsi="Calibri"/>
          <w:color w:val="1A1A1A"/>
          <w:sz w:val="22"/>
          <w:szCs w:val="22"/>
        </w:rPr>
        <w:t xml:space="preserve">Endorse full disclosure of all 8 disputes in the IPO prospectus.</w:t>
      </w:r>
    </w:p>
    <w:p>
      <w:pPr>
        <w:pStyle w:val="ListParagraph"/>
        <w:numPr>
          <w:ilvl w:val="0"/>
          <w:numId w:val="2"/>
        </w:numPr>
        <w:spacing w:after="90" w:line="320"/>
      </w:pPr>
      <w:r>
        <w:rPr>
          <w:rFonts w:ascii="Calibri" w:cs="Calibri" w:eastAsia="Calibri" w:hAnsi="Calibri"/>
          <w:color w:val="1A1A1A"/>
          <w:sz w:val="22"/>
          <w:szCs w:val="22"/>
        </w:rPr>
        <w:t xml:space="preserve">Direct management to develop the IPO narrative around tax disputes for review at the next Audit Committee meeting in July.</w:t>
      </w:r>
    </w:p>
    <w:p>
      <w:pPr>
        <w:pStyle w:val="Heading2"/>
        <w:spacing w:after="160" w:before="300"/>
      </w:pPr>
      <w:r>
        <w:rPr>
          <w:rFonts w:ascii="Georgia" w:cs="Georgia" w:eastAsia="Georgia" w:hAnsi="Georgia"/>
          <w:b/>
          <w:bCs/>
          <w:color w:val="1A1A1A"/>
          <w:sz w:val="25"/>
          <w:szCs w:val="25"/>
        </w:rPr>
        <w:t xml:space="preserve">Item 2 — Q1 financial reporting — IPO readiness compliance</w:t>
      </w:r>
    </w:p>
    <w:p>
      <w:pPr>
        <w:spacing w:after="140" w:before="0" w:line="320"/>
        <w:jc w:val="left"/>
      </w:pPr>
      <w:r>
        <w:rPr>
          <w:rFonts w:ascii="Calibri" w:cs="Calibri" w:eastAsia="Calibri" w:hAnsi="Calibri"/>
          <w:b w:val="false"/>
          <w:bCs w:val="false"/>
          <w:i w:val="false"/>
          <w:iCs w:val="false"/>
          <w:color w:val="1A1A1A"/>
          <w:sz w:val="22"/>
          <w:szCs w:val="22"/>
        </w:rPr>
        <w:t xml:space="preserve">Q1 financial reporting has been refreshed to IPO standards. PwC has reviewed and signed off on the Q1 reporting package. Key changes from prior reporting standard: more granular segment reporting; expanded disclosures on cross-border tax exposures; refreshed accounting policy notes for IFRS compliance review.</w:t>
      </w:r>
    </w:p>
    <w:p>
      <w:pPr>
        <w:pStyle w:val="Heading3"/>
        <w:spacing w:after="120" w:before="220"/>
      </w:pPr>
      <w:r>
        <w:rPr>
          <w:rFonts w:ascii="Calibri" w:cs="Calibri" w:eastAsia="Calibri" w:hAnsi="Calibri"/>
          <w:b/>
          <w:bCs/>
          <w:color w:val="1A1A1A"/>
          <w:sz w:val="22"/>
          <w:szCs w:val="22"/>
        </w:rPr>
        <w:t xml:space="preserve">Audit Committee perspective</w:t>
      </w:r>
    </w:p>
    <w:p>
      <w:pPr>
        <w:spacing w:after="140" w:before="0" w:line="320"/>
        <w:jc w:val="left"/>
      </w:pPr>
      <w:r>
        <w:rPr>
          <w:rFonts w:ascii="Calibri" w:cs="Calibri" w:eastAsia="Calibri" w:hAnsi="Calibri"/>
          <w:b w:val="false"/>
          <w:bCs w:val="false"/>
          <w:i w:val="false"/>
          <w:iCs w:val="false"/>
          <w:color w:val="1A1A1A"/>
          <w:sz w:val="22"/>
          <w:szCs w:val="22"/>
        </w:rPr>
        <w:t xml:space="preserve">The reporting refresh is appropriate. One observation from Bram Mwalo (raised at the pre-meeting): the segment reporting now exposes the country-by-country EBITDA margins, which range from 18% (Kenya) to 4% (Ethiopia). This level of transparency will be visible to IPO investors. The Audit Committee should ensure the segment narrative explains the operational reasons for margin variation and the trajectory expectation.</w:t>
      </w:r>
    </w:p>
    <w:p>
      <w:pPr>
        <w:pStyle w:val="Heading3"/>
        <w:spacing w:after="120" w:before="220"/>
      </w:pPr>
      <w:r>
        <w:rPr>
          <w:rFonts w:ascii="Calibri" w:cs="Calibri" w:eastAsia="Calibri" w:hAnsi="Calibri"/>
          <w:b/>
          <w:bCs/>
          <w:color w:val="1A1A1A"/>
          <w:sz w:val="22"/>
          <w:szCs w:val="22"/>
        </w:rPr>
        <w:t xml:space="preserve">Recommendation</w:t>
      </w:r>
    </w:p>
    <w:p>
      <w:pPr>
        <w:pStyle w:val="ListParagraph"/>
        <w:numPr>
          <w:ilvl w:val="0"/>
          <w:numId w:val="2"/>
        </w:numPr>
        <w:spacing w:after="90" w:line="320"/>
      </w:pPr>
      <w:r>
        <w:rPr>
          <w:rFonts w:ascii="Calibri" w:cs="Calibri" w:eastAsia="Calibri" w:hAnsi="Calibri"/>
          <w:color w:val="1A1A1A"/>
          <w:sz w:val="22"/>
          <w:szCs w:val="22"/>
        </w:rPr>
        <w:t xml:space="preserve">Endorse the Q1 financial reporting and PwC sign-off.</w:t>
      </w:r>
    </w:p>
    <w:p>
      <w:pPr>
        <w:pStyle w:val="ListParagraph"/>
        <w:numPr>
          <w:ilvl w:val="0"/>
          <w:numId w:val="2"/>
        </w:numPr>
        <w:spacing w:after="90" w:line="320"/>
      </w:pPr>
      <w:r>
        <w:rPr>
          <w:rFonts w:ascii="Calibri" w:cs="Calibri" w:eastAsia="Calibri" w:hAnsi="Calibri"/>
          <w:color w:val="1A1A1A"/>
          <w:sz w:val="22"/>
          <w:szCs w:val="22"/>
        </w:rPr>
        <w:t xml:space="preserve">Direct management to develop the segment narrative for the IPO prospectus, with first draft to Audit Committee in July.</w:t>
      </w:r>
    </w:p>
    <w:p>
      <w:pPr>
        <w:pStyle w:val="Heading2"/>
        <w:spacing w:after="160" w:before="300"/>
      </w:pPr>
      <w:r>
        <w:rPr>
          <w:rFonts w:ascii="Georgia" w:cs="Georgia" w:eastAsia="Georgia" w:hAnsi="Georgia"/>
          <w:b/>
          <w:bCs/>
          <w:color w:val="1A1A1A"/>
          <w:sz w:val="25"/>
          <w:szCs w:val="25"/>
        </w:rPr>
        <w:t xml:space="preserve">Item 3 — PwC IPO audit engagement</w:t>
      </w:r>
    </w:p>
    <w:p>
      <w:pPr>
        <w:spacing w:after="140" w:before="0" w:line="320"/>
        <w:jc w:val="left"/>
      </w:pPr>
      <w:r>
        <w:rPr>
          <w:rFonts w:ascii="Calibri" w:cs="Calibri" w:eastAsia="Calibri" w:hAnsi="Calibri"/>
          <w:b w:val="false"/>
          <w:bCs w:val="false"/>
          <w:i w:val="false"/>
          <w:iCs w:val="false"/>
          <w:color w:val="1A1A1A"/>
          <w:sz w:val="22"/>
          <w:szCs w:val="22"/>
        </w:rPr>
        <w:t xml:space="preserve">PwC has been confirmed as the IPO auditor (replacing the previous auditor, KPMG, whose engagement concluded with the 2024 financial year). The engagement letter is dated 1 March 2026 and covers Q1 2026 review through to IPO.</w:t>
      </w:r>
    </w:p>
    <w:p>
      <w:pPr>
        <w:spacing w:after="140" w:before="0" w:line="320"/>
        <w:jc w:val="left"/>
      </w:pPr>
      <w:r>
        <w:rPr>
          <w:rFonts w:ascii="Calibri" w:cs="Calibri" w:eastAsia="Calibri" w:hAnsi="Calibri"/>
          <w:b w:val="false"/>
          <w:bCs w:val="false"/>
          <w:i w:val="false"/>
          <w:iCs w:val="false"/>
          <w:color w:val="1A1A1A"/>
          <w:sz w:val="22"/>
          <w:szCs w:val="22"/>
        </w:rPr>
        <w:t xml:space="preserve">Q1 review work has been completed. No material findings raised by PwC. Three management observations from PwC: tax dispute provisioning approach (concurrent), accounting policy refresh (in progress), segment reporting transition (complete).</w:t>
      </w:r>
    </w:p>
    <w:p>
      <w:pPr>
        <w:pStyle w:val="Heading2"/>
        <w:spacing w:after="160" w:before="300"/>
      </w:pPr>
      <w:r>
        <w:rPr>
          <w:rFonts w:ascii="Georgia" w:cs="Georgia" w:eastAsia="Georgia" w:hAnsi="Georgia"/>
          <w:b/>
          <w:bCs/>
          <w:color w:val="1A1A1A"/>
          <w:sz w:val="25"/>
          <w:szCs w:val="25"/>
        </w:rPr>
        <w:t xml:space="preserve">Item 4 — Internal Audit programme — Q1 status</w:t>
      </w:r>
    </w:p>
    <w:p>
      <w:pPr>
        <w:spacing w:after="140" w:before="0" w:line="320"/>
        <w:jc w:val="left"/>
      </w:pPr>
      <w:r>
        <w:rPr>
          <w:rFonts w:ascii="Calibri" w:cs="Calibri" w:eastAsia="Calibri" w:hAnsi="Calibri"/>
          <w:b w:val="false"/>
          <w:bCs w:val="false"/>
          <w:i w:val="false"/>
          <w:iCs w:val="false"/>
          <w:color w:val="1A1A1A"/>
          <w:sz w:val="22"/>
          <w:szCs w:val="22"/>
        </w:rPr>
        <w:t xml:space="preserve">Internal Audit completed three reviews during Q1: Treasury and Cash Management (4 findings, all medium-risk), Cross-Border Operations (8 findings, 2 high-risk relating to compliance procedure gaps in Ethiopia and Zambia), Cyber and Information Security (5 findings, 1 high-risk on patching cadence).</w:t>
      </w:r>
    </w:p>
    <w:p>
      <w:pPr>
        <w:spacing w:after="140" w:before="0" w:line="320"/>
        <w:jc w:val="left"/>
      </w:pPr>
      <w:r>
        <w:rPr>
          <w:rFonts w:ascii="Calibri" w:cs="Calibri" w:eastAsia="Calibri" w:hAnsi="Calibri"/>
          <w:b w:val="false"/>
          <w:bCs w:val="false"/>
          <w:i w:val="false"/>
          <w:iCs w:val="false"/>
          <w:color w:val="1A1A1A"/>
          <w:sz w:val="22"/>
          <w:szCs w:val="22"/>
        </w:rPr>
        <w:t xml:space="preserve">Total open findings at Q1 close: 22 (3 high-risk, 14 medium-risk, 5 low-risk). High-risk findings remediation timelines: all three committed to closure within 90 days.</w:t>
      </w:r>
    </w:p>
    <w:p>
      <w:pPr>
        <w:pStyle w:val="Heading2"/>
        <w:spacing w:after="160" w:before="300"/>
      </w:pPr>
      <w:r>
        <w:rPr>
          <w:rFonts w:ascii="Georgia" w:cs="Georgia" w:eastAsia="Georgia" w:hAnsi="Georgia"/>
          <w:b/>
          <w:bCs/>
          <w:color w:val="1A1A1A"/>
          <w:sz w:val="25"/>
          <w:szCs w:val="25"/>
        </w:rPr>
        <w:t xml:space="preserve">Item 5 — Tanzania transport infrastructure incident</w:t>
      </w:r>
    </w:p>
    <w:p>
      <w:pPr>
        <w:spacing w:after="140" w:before="0" w:line="320"/>
        <w:jc w:val="left"/>
      </w:pPr>
      <w:r>
        <w:rPr>
          <w:rFonts w:ascii="Calibri" w:cs="Calibri" w:eastAsia="Calibri" w:hAnsi="Calibri"/>
          <w:b w:val="false"/>
          <w:bCs w:val="false"/>
          <w:i w:val="false"/>
          <w:iCs w:val="false"/>
          <w:color w:val="1A1A1A"/>
          <w:sz w:val="22"/>
          <w:szCs w:val="22"/>
        </w:rPr>
        <w:t xml:space="preserve">The 11-day cross-border route disruption in February affected cargo flows between Mombasa and Dar es Salaam. Direct revenue impact: approximately USD 1.4 million (claimable through cargo insurance). Customer reimbursement and goodwill payments: USD 0.6 million. Insurance recovery expected: USD 1.4 million in Q2.</w:t>
      </w:r>
    </w:p>
    <w:p>
      <w:pPr>
        <w:pStyle w:val="Heading3"/>
        <w:spacing w:after="120" w:before="220"/>
      </w:pPr>
      <w:r>
        <w:rPr>
          <w:rFonts w:ascii="Calibri" w:cs="Calibri" w:eastAsia="Calibri" w:hAnsi="Calibri"/>
          <w:b/>
          <w:bCs/>
          <w:color w:val="1A1A1A"/>
          <w:sz w:val="22"/>
          <w:szCs w:val="22"/>
        </w:rPr>
        <w:t xml:space="preserve">Audit Committee considerations</w:t>
      </w:r>
    </w:p>
    <w:p>
      <w:pPr>
        <w:pStyle w:val="ListParagraph"/>
        <w:numPr>
          <w:ilvl w:val="0"/>
          <w:numId w:val="2"/>
        </w:numPr>
        <w:spacing w:after="90" w:line="320"/>
      </w:pPr>
      <w:r>
        <w:rPr>
          <w:rFonts w:ascii="Calibri" w:cs="Calibri" w:eastAsia="Calibri" w:hAnsi="Calibri"/>
          <w:color w:val="1A1A1A"/>
          <w:sz w:val="22"/>
          <w:szCs w:val="22"/>
        </w:rPr>
        <w:t xml:space="preserve">The financial impact has been provisioned for in Q1 (USD 0.6 million expense; USD 1.4 million receivable from insurance).</w:t>
      </w:r>
    </w:p>
    <w:p>
      <w:pPr>
        <w:pStyle w:val="ListParagraph"/>
        <w:numPr>
          <w:ilvl w:val="0"/>
          <w:numId w:val="2"/>
        </w:numPr>
        <w:spacing w:after="90" w:line="320"/>
      </w:pPr>
      <w:r>
        <w:rPr>
          <w:rFonts w:ascii="Calibri" w:cs="Calibri" w:eastAsia="Calibri" w:hAnsi="Calibri"/>
          <w:color w:val="1A1A1A"/>
          <w:sz w:val="22"/>
          <w:szCs w:val="22"/>
        </w:rPr>
        <w:t xml:space="preserve">The incident has highlighted concentration risk on the Mombasa-Dar es Salaam route; management has commissioned a route resilience assessment.</w:t>
      </w:r>
    </w:p>
    <w:p>
      <w:pPr>
        <w:pStyle w:val="ListParagraph"/>
        <w:numPr>
          <w:ilvl w:val="0"/>
          <w:numId w:val="2"/>
        </w:numPr>
        <w:spacing w:after="90" w:line="320"/>
      </w:pPr>
      <w:r>
        <w:rPr>
          <w:rFonts w:ascii="Calibri" w:cs="Calibri" w:eastAsia="Calibri" w:hAnsi="Calibri"/>
          <w:color w:val="1A1A1A"/>
          <w:sz w:val="22"/>
          <w:szCs w:val="22"/>
        </w:rPr>
        <w:t xml:space="preserve">From an IPO disclosure perspective, the incident is material enough to warrant prospectus mention; the Audit Committee should review the proposed disclosure.</w:t>
      </w:r>
    </w:p>
    <w:p>
      <w:pPr>
        <w:pStyle w:val="Heading3"/>
        <w:spacing w:after="120" w:before="220"/>
      </w:pPr>
      <w:r>
        <w:rPr>
          <w:rFonts w:ascii="Calibri" w:cs="Calibri" w:eastAsia="Calibri" w:hAnsi="Calibri"/>
          <w:b/>
          <w:bCs/>
          <w:color w:val="1A1A1A"/>
          <w:sz w:val="22"/>
          <w:szCs w:val="22"/>
        </w:rPr>
        <w:t xml:space="preserve">Recommendation</w:t>
      </w:r>
    </w:p>
    <w:p>
      <w:pPr>
        <w:pStyle w:val="ListParagraph"/>
        <w:numPr>
          <w:ilvl w:val="0"/>
          <w:numId w:val="2"/>
        </w:numPr>
        <w:spacing w:after="90" w:line="320"/>
      </w:pPr>
      <w:r>
        <w:rPr>
          <w:rFonts w:ascii="Calibri" w:cs="Calibri" w:eastAsia="Calibri" w:hAnsi="Calibri"/>
          <w:color w:val="1A1A1A"/>
          <w:sz w:val="22"/>
          <w:szCs w:val="22"/>
        </w:rPr>
        <w:t xml:space="preserve">Note the incident provisioning treatment; PwC concurrence confirmed.</w:t>
      </w:r>
    </w:p>
    <w:p>
      <w:pPr>
        <w:pStyle w:val="ListParagraph"/>
        <w:numPr>
          <w:ilvl w:val="0"/>
          <w:numId w:val="2"/>
        </w:numPr>
        <w:spacing w:after="90" w:line="320"/>
      </w:pPr>
      <w:r>
        <w:rPr>
          <w:rFonts w:ascii="Calibri" w:cs="Calibri" w:eastAsia="Calibri" w:hAnsi="Calibri"/>
          <w:color w:val="1A1A1A"/>
          <w:sz w:val="22"/>
          <w:szCs w:val="22"/>
        </w:rPr>
        <w:t xml:space="preserve">Audit Committee to review the IPO prospectus disclosure of this incident at the July meeting alongside the route resilience assessment findings.</w:t>
      </w:r>
    </w:p>
    <w:p>
      <w:pPr>
        <w:pStyle w:val="Heading2"/>
        <w:spacing w:after="160" w:before="300"/>
      </w:pPr>
      <w:r>
        <w:rPr>
          <w:rFonts w:ascii="Georgia" w:cs="Georgia" w:eastAsia="Georgia" w:hAnsi="Georgia"/>
          <w:b/>
          <w:bCs/>
          <w:color w:val="1A1A1A"/>
          <w:sz w:val="25"/>
          <w:szCs w:val="25"/>
        </w:rPr>
        <w:t xml:space="preserve">Decisions requested from the Audit Committee</w:t>
      </w:r>
    </w:p>
    <w:p>
      <w:pPr>
        <w:pStyle w:val="ListParagraph"/>
        <w:numPr>
          <w:ilvl w:val="0"/>
          <w:numId w:val="2"/>
        </w:numPr>
        <w:spacing w:after="90" w:line="320"/>
      </w:pPr>
      <w:r>
        <w:rPr>
          <w:rFonts w:ascii="Calibri" w:cs="Calibri" w:eastAsia="Calibri" w:hAnsi="Calibri"/>
          <w:color w:val="1A1A1A"/>
          <w:sz w:val="22"/>
          <w:szCs w:val="22"/>
        </w:rPr>
        <w:t xml:space="preserve">Endorse the EY tax dispute resolution programme.</w:t>
      </w:r>
    </w:p>
    <w:p>
      <w:pPr>
        <w:pStyle w:val="ListParagraph"/>
        <w:numPr>
          <w:ilvl w:val="0"/>
          <w:numId w:val="2"/>
        </w:numPr>
        <w:spacing w:after="90" w:line="320"/>
      </w:pPr>
      <w:r>
        <w:rPr>
          <w:rFonts w:ascii="Calibri" w:cs="Calibri" w:eastAsia="Calibri" w:hAnsi="Calibri"/>
          <w:color w:val="1A1A1A"/>
          <w:sz w:val="22"/>
          <w:szCs w:val="22"/>
        </w:rPr>
        <w:t xml:space="preserve">Endorse Q1 financial reporting refresh and PwC sign-off.</w:t>
      </w:r>
    </w:p>
    <w:p>
      <w:pPr>
        <w:pStyle w:val="ListParagraph"/>
        <w:numPr>
          <w:ilvl w:val="0"/>
          <w:numId w:val="2"/>
        </w:numPr>
        <w:spacing w:after="90" w:line="320"/>
      </w:pPr>
      <w:r>
        <w:rPr>
          <w:rFonts w:ascii="Calibri" w:cs="Calibri" w:eastAsia="Calibri" w:hAnsi="Calibri"/>
          <w:color w:val="1A1A1A"/>
          <w:sz w:val="22"/>
          <w:szCs w:val="22"/>
        </w:rPr>
        <w:t xml:space="preserve">Receive PwC IPO audit engagement update.</w:t>
      </w:r>
    </w:p>
    <w:p>
      <w:pPr>
        <w:pStyle w:val="ListParagraph"/>
        <w:numPr>
          <w:ilvl w:val="0"/>
          <w:numId w:val="2"/>
        </w:numPr>
        <w:spacing w:after="90" w:line="320"/>
      </w:pPr>
      <w:r>
        <w:rPr>
          <w:rFonts w:ascii="Calibri" w:cs="Calibri" w:eastAsia="Calibri" w:hAnsi="Calibri"/>
          <w:color w:val="1A1A1A"/>
          <w:sz w:val="22"/>
          <w:szCs w:val="22"/>
        </w:rPr>
        <w:t xml:space="preserve">Approve Internal Audit Q1 programme status.</w:t>
      </w:r>
    </w:p>
    <w:p>
      <w:pPr>
        <w:pStyle w:val="ListParagraph"/>
        <w:numPr>
          <w:ilvl w:val="0"/>
          <w:numId w:val="2"/>
        </w:numPr>
        <w:spacing w:after="90" w:line="320"/>
      </w:pPr>
      <w:r>
        <w:rPr>
          <w:rFonts w:ascii="Calibri" w:cs="Calibri" w:eastAsia="Calibri" w:hAnsi="Calibri"/>
          <w:color w:val="1A1A1A"/>
          <w:sz w:val="22"/>
          <w:szCs w:val="22"/>
        </w:rPr>
        <w:t xml:space="preserve">Note the Tanzania incident provisioning and request prospectus disclosure review.</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B3 OF 5</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Nominations Committee Paper — Q1 2026 — Sendwa Logistics</w:t>
      </w:r>
    </w:p>
    <w:p>
      <w:pPr>
        <w:spacing w:after="240"/>
      </w:pPr>
      <w:r>
        <w:rPr>
          <w:rFonts w:ascii="Georgia" w:cs="Georgia" w:eastAsia="Georgia" w:hAnsi="Georgia"/>
          <w:i/>
          <w:iCs/>
          <w:color w:val="2B2B2A"/>
          <w:sz w:val="26"/>
          <w:szCs w:val="26"/>
        </w:rPr>
        <w:t xml:space="preserve">For the Nominations Committee meeting of 23 April 2026 (Chair: Bram Mwalo)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Meeting 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23 April 2026, 09:00 — 12:00</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Bram Mwalo</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Members</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Linda Mwende, Christine Ngugi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Note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First formal succession progress paper to the Board</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Purpose</w:t>
      </w:r>
    </w:p>
    <w:p>
      <w:pPr>
        <w:spacing w:after="140" w:before="0" w:line="320"/>
        <w:jc w:val="left"/>
      </w:pPr>
      <w:r>
        <w:rPr>
          <w:rFonts w:ascii="Calibri" w:cs="Calibri" w:eastAsia="Calibri" w:hAnsi="Calibri"/>
          <w:b w:val="false"/>
          <w:bCs w:val="false"/>
          <w:i w:val="false"/>
          <w:iCs w:val="false"/>
          <w:color w:val="1A1A1A"/>
          <w:sz w:val="22"/>
          <w:szCs w:val="22"/>
        </w:rPr>
        <w:t xml:space="preserve">This paper presents the Nominations Committee's first formal succession progress report to the Board. The Committee has been working on the founder-CEO succession question since November 2025 following the founder's signal of intent to step back from the CEO role post-IPO. This paper synthesises the work to date and identifies the path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E2B" w:sz="10" w:space="0"/>
              <w:left w:val="single" w:color="D9D3C1" w:sz="4" w:space="0"/>
              <w:bottom w:val="single" w:color="D9D3C1" w:sz="4" w:space="0"/>
              <w:right w:val="single" w:color="D9D3C1" w:sz="4" w:space="0"/>
            </w:tcBorders>
            <w:shd w:fill="F2EDE0" w:val="clear"/>
            <w:tcMar>
              <w:top w:type="dxa" w:w="200"/>
              <w:left w:type="dxa" w:w="260"/>
              <w:bottom w:type="dxa" w:w="200"/>
              <w:right w:type="dxa" w:w="260"/>
            </w:tcMar>
          </w:tcPr>
          <w:p>
            <w:pPr>
              <w:spacing w:after="100"/>
            </w:pPr>
            <w:r>
              <w:rPr>
                <w:rFonts w:ascii="Calibri" w:cs="Calibri" w:eastAsia="Calibri" w:hAnsi="Calibri"/>
                <w:b/>
                <w:bCs/>
                <w:color w:val="1A1A1A"/>
                <w:sz w:val="20"/>
                <w:szCs w:val="20"/>
              </w:rPr>
              <w:t xml:space="preserve">Note from the Chair (Bram Mwalo)</w:t>
            </w:r>
          </w:p>
          <w:p>
            <w:pPr>
              <w:spacing w:after="0" w:line="310"/>
            </w:pPr>
            <w:r>
              <w:rPr>
                <w:rFonts w:ascii="Calibri" w:cs="Calibri" w:eastAsia="Calibri" w:hAnsi="Calibri"/>
                <w:color w:val="1A1A1A"/>
                <w:sz w:val="21"/>
                <w:szCs w:val="21"/>
              </w:rPr>
              <w:t xml:space="preserve">The succession process at Sendwa carries unusual significance because three factors converge: a founder-CEO with deep operational and cross-border relationships difficult to replicate; an IPO timeline that establishes hard deadlines for governance maturity; and a regional logistics market where executive talent depth is limited. The Nominations Committee has approached this work in three structured phases. This paper reports on phase one outcomes and recommends initiating phase two.</w:t>
            </w:r>
          </w:p>
        </w:tc>
      </w:tr>
    </w:tbl>
    <w:p>
      <w:pPr>
        <w:pStyle w:val="Heading2"/>
        <w:spacing w:after="160" w:before="300"/>
      </w:pPr>
      <w:r>
        <w:rPr>
          <w:rFonts w:ascii="Georgia" w:cs="Georgia" w:eastAsia="Georgia" w:hAnsi="Georgia"/>
          <w:b/>
          <w:bCs/>
          <w:color w:val="1A1A1A"/>
          <w:sz w:val="25"/>
          <w:szCs w:val="25"/>
        </w:rPr>
        <w:t xml:space="preserve">1. Phase one — executive bench mapping and gap analysis</w:t>
      </w:r>
    </w:p>
    <w:p>
      <w:pPr>
        <w:spacing w:after="140" w:before="0" w:line="320"/>
        <w:jc w:val="left"/>
      </w:pPr>
      <w:r>
        <w:rPr>
          <w:rFonts w:ascii="Calibri" w:cs="Calibri" w:eastAsia="Calibri" w:hAnsi="Calibri"/>
          <w:b w:val="false"/>
          <w:bCs w:val="false"/>
          <w:i w:val="false"/>
          <w:iCs w:val="false"/>
          <w:color w:val="1A1A1A"/>
          <w:sz w:val="22"/>
          <w:szCs w:val="22"/>
        </w:rPr>
        <w:t xml:space="preserve">Phase one of the succession process — executive bench mapping and gap analysis — has been completed. The Committee has mapped Sendwa's senior executive bench (CEO direct reports plus selected next-tier) against the role profile required of a post-IPO CEO. The mapping considered: operational leadership; financial and capital markets fluency; cross-border relationship depth; founder-context understanding; team leadership; investor-facing capability.</w:t>
      </w:r>
    </w:p>
    <w:p>
      <w:pPr>
        <w:pStyle w:val="Heading3"/>
        <w:spacing w:after="120" w:before="220"/>
      </w:pPr>
      <w:r>
        <w:rPr>
          <w:rFonts w:ascii="Calibri" w:cs="Calibri" w:eastAsia="Calibri" w:hAnsi="Calibri"/>
          <w:b/>
          <w:bCs/>
          <w:color w:val="1A1A1A"/>
          <w:sz w:val="22"/>
          <w:szCs w:val="22"/>
        </w:rPr>
        <w:t xml:space="preserve">Bench depth findings</w:t>
      </w:r>
    </w:p>
    <w:p>
      <w:pPr>
        <w:pStyle w:val="ListParagraph"/>
        <w:numPr>
          <w:ilvl w:val="0"/>
          <w:numId w:val="2"/>
        </w:numPr>
        <w:spacing w:after="90" w:line="320"/>
      </w:pPr>
      <w:r>
        <w:rPr>
          <w:rFonts w:ascii="Calibri" w:cs="Calibri" w:eastAsia="Calibri" w:hAnsi="Calibri"/>
          <w:color w:val="1A1A1A"/>
          <w:sz w:val="22"/>
          <w:szCs w:val="22"/>
        </w:rPr>
        <w:t xml:space="preserve">Strong: operational leadership (the COO, Janet Achieng, has demonstrated full operational responsibility across all six countries since 2023). Financial and capital markets fluency (the CFO, Mary Wanjiku, has IPO experience from her prior role at a peer logistics group).</w:t>
      </w:r>
    </w:p>
    <w:p>
      <w:pPr>
        <w:pStyle w:val="ListParagraph"/>
        <w:numPr>
          <w:ilvl w:val="0"/>
          <w:numId w:val="2"/>
        </w:numPr>
        <w:spacing w:after="90" w:line="320"/>
      </w:pPr>
      <w:r>
        <w:rPr>
          <w:rFonts w:ascii="Calibri" w:cs="Calibri" w:eastAsia="Calibri" w:hAnsi="Calibri"/>
          <w:color w:val="1A1A1A"/>
          <w:sz w:val="22"/>
          <w:szCs w:val="22"/>
        </w:rPr>
        <w:t xml:space="preserve">Adequate: team leadership (multiple senior executives have built and led teams of 200+ people). Investor-facing capability (the CFO has been the primary investor relations interface for the past 12 months).</w:t>
      </w:r>
    </w:p>
    <w:p>
      <w:pPr>
        <w:pStyle w:val="ListParagraph"/>
        <w:numPr>
          <w:ilvl w:val="0"/>
          <w:numId w:val="2"/>
        </w:numPr>
        <w:spacing w:after="90" w:line="320"/>
      </w:pPr>
      <w:r>
        <w:rPr>
          <w:rFonts w:ascii="Calibri" w:cs="Calibri" w:eastAsia="Calibri" w:hAnsi="Calibri"/>
          <w:color w:val="1A1A1A"/>
          <w:sz w:val="22"/>
          <w:szCs w:val="22"/>
        </w:rPr>
        <w:t xml:space="preserve">Gap: cross-border relationship depth specifically. The founder's relationships with logistics infrastructure stakeholders, government counterparts, and major customers across all six countries are extensive and have been built over a 15-year period. No single internal candidate has equivalent breadth.</w:t>
      </w:r>
    </w:p>
    <w:p>
      <w:pPr>
        <w:pStyle w:val="ListParagraph"/>
        <w:numPr>
          <w:ilvl w:val="0"/>
          <w:numId w:val="2"/>
        </w:numPr>
        <w:spacing w:after="90" w:line="320"/>
      </w:pPr>
      <w:r>
        <w:rPr>
          <w:rFonts w:ascii="Calibri" w:cs="Calibri" w:eastAsia="Calibri" w:hAnsi="Calibri"/>
          <w:color w:val="1A1A1A"/>
          <w:sz w:val="22"/>
          <w:szCs w:val="22"/>
        </w:rPr>
        <w:t xml:space="preserve">Gap: founder-context understanding. Sendwa's strategic direction has been founder-led; the institutional understanding of why specific market positions were taken is concentrated in the founder.</w:t>
      </w:r>
    </w:p>
    <w:p>
      <w:pPr>
        <w:pStyle w:val="Heading2"/>
        <w:spacing w:after="160" w:before="300"/>
      </w:pPr>
      <w:r>
        <w:rPr>
          <w:rFonts w:ascii="Georgia" w:cs="Georgia" w:eastAsia="Georgia" w:hAnsi="Georgia"/>
          <w:b/>
          <w:bCs/>
          <w:color w:val="1A1A1A"/>
          <w:sz w:val="25"/>
          <w:szCs w:val="25"/>
        </w:rPr>
        <w:t xml:space="preserve">2. Recommended path forward</w:t>
      </w:r>
    </w:p>
    <w:p>
      <w:pPr>
        <w:spacing w:after="140" w:before="0" w:line="320"/>
        <w:jc w:val="left"/>
      </w:pPr>
      <w:r>
        <w:rPr>
          <w:rFonts w:ascii="Calibri" w:cs="Calibri" w:eastAsia="Calibri" w:hAnsi="Calibri"/>
          <w:b w:val="false"/>
          <w:bCs w:val="false"/>
          <w:i w:val="false"/>
          <w:iCs w:val="false"/>
          <w:color w:val="1A1A1A"/>
          <w:sz w:val="22"/>
          <w:szCs w:val="22"/>
        </w:rPr>
        <w:t xml:space="preserve">The Nominations Committee has considered three paths and recommends path C (combined internal development and external evaluation):</w:t>
      </w:r>
    </w:p>
    <w:p>
      <w:pPr>
        <w:pStyle w:val="Heading3"/>
        <w:spacing w:after="120" w:before="220"/>
      </w:pPr>
      <w:r>
        <w:rPr>
          <w:rFonts w:ascii="Calibri" w:cs="Calibri" w:eastAsia="Calibri" w:hAnsi="Calibri"/>
          <w:b/>
          <w:bCs/>
          <w:color w:val="1A1A1A"/>
          <w:sz w:val="22"/>
          <w:szCs w:val="22"/>
        </w:rPr>
        <w:t xml:space="preserve">Path A — internal succession (declined)</w:t>
      </w:r>
    </w:p>
    <w:p>
      <w:pPr>
        <w:spacing w:after="140" w:before="0" w:line="320"/>
        <w:jc w:val="left"/>
      </w:pPr>
      <w:r>
        <w:rPr>
          <w:rFonts w:ascii="Calibri" w:cs="Calibri" w:eastAsia="Calibri" w:hAnsi="Calibri"/>
          <w:b w:val="false"/>
          <w:bCs w:val="false"/>
          <w:i w:val="false"/>
          <w:iCs w:val="false"/>
          <w:color w:val="1A1A1A"/>
          <w:sz w:val="22"/>
          <w:szCs w:val="22"/>
        </w:rPr>
        <w:t xml:space="preserve">Promote Janet Achieng (COO) or Mary Wanjiku (CFO) to CEO immediately, with the founder transitioning to Executive Chair role. Declined because: neither candidate currently combines the relationship breadth and the financial markets fluency the IPO context requires; promotion to CEO immediately ahead of IPO would create both execution risk and investor confidence risk.</w:t>
      </w:r>
    </w:p>
    <w:p>
      <w:pPr>
        <w:pStyle w:val="Heading3"/>
        <w:spacing w:after="120" w:before="220"/>
      </w:pPr>
      <w:r>
        <w:rPr>
          <w:rFonts w:ascii="Calibri" w:cs="Calibri" w:eastAsia="Calibri" w:hAnsi="Calibri"/>
          <w:b/>
          <w:bCs/>
          <w:color w:val="1A1A1A"/>
          <w:sz w:val="22"/>
          <w:szCs w:val="22"/>
        </w:rPr>
        <w:t xml:space="preserve">Path B — external recruitment (declined)</w:t>
      </w:r>
    </w:p>
    <w:p>
      <w:pPr>
        <w:spacing w:after="140" w:before="0" w:line="320"/>
        <w:jc w:val="left"/>
      </w:pPr>
      <w:r>
        <w:rPr>
          <w:rFonts w:ascii="Calibri" w:cs="Calibri" w:eastAsia="Calibri" w:hAnsi="Calibri"/>
          <w:b w:val="false"/>
          <w:bCs w:val="false"/>
          <w:i w:val="false"/>
          <w:iCs w:val="false"/>
          <w:color w:val="1A1A1A"/>
          <w:sz w:val="22"/>
          <w:szCs w:val="22"/>
        </w:rPr>
        <w:t xml:space="preserve">Recruit an external CEO over the next 9-12 months for transition immediately post-IPO. Declined because: external candidates with relevant experience (regional logistics, IPO context, founder-led culture transition) are scarce; the founder would lose continuity benefit; and the timing creates IPO disruption risk.</w:t>
      </w:r>
    </w:p>
    <w:p>
      <w:pPr>
        <w:pStyle w:val="Heading3"/>
        <w:spacing w:after="120" w:before="220"/>
      </w:pPr>
      <w:r>
        <w:rPr>
          <w:rFonts w:ascii="Calibri" w:cs="Calibri" w:eastAsia="Calibri" w:hAnsi="Calibri"/>
          <w:b/>
          <w:bCs/>
          <w:color w:val="1A1A1A"/>
          <w:sz w:val="22"/>
          <w:szCs w:val="22"/>
        </w:rPr>
        <w:t xml:space="preserve">Path C — combined internal development and external evaluation (recommended)</w:t>
      </w:r>
    </w:p>
    <w:p>
      <w:pPr>
        <w:spacing w:after="140" w:before="0" w:line="320"/>
        <w:jc w:val="left"/>
      </w:pPr>
      <w:r>
        <w:rPr>
          <w:rFonts w:ascii="Calibri" w:cs="Calibri" w:eastAsia="Calibri" w:hAnsi="Calibri"/>
          <w:b w:val="false"/>
          <w:bCs w:val="false"/>
          <w:i w:val="false"/>
          <w:iCs w:val="false"/>
          <w:color w:val="1A1A1A"/>
          <w:sz w:val="22"/>
          <w:szCs w:val="22"/>
        </w:rPr>
        <w:t xml:space="preserve">Two-track approach over 12-18 months: (1) accelerated development of internal candidates (specifically Janet Achieng and Mary Wanjiku) through expanded responsibilities and external coaching; (2) parallel external candidate evaluation through a retained search firm, focused on candidates who could complement an internal CEO appointment in COO or executive chair roles. Final succession decision made 6-9 months post-IPO based on observed performance and IPO transition dynamics.</w:t>
      </w:r>
    </w:p>
    <w:p>
      <w:pPr>
        <w:pStyle w:val="Heading3"/>
        <w:spacing w:after="120" w:before="220"/>
      </w:pPr>
      <w:r>
        <w:rPr>
          <w:rFonts w:ascii="Calibri" w:cs="Calibri" w:eastAsia="Calibri" w:hAnsi="Calibri"/>
          <w:b/>
          <w:bCs/>
          <w:color w:val="1A1A1A"/>
          <w:sz w:val="22"/>
          <w:szCs w:val="22"/>
        </w:rPr>
        <w:t xml:space="preserve">Why path C</w:t>
      </w:r>
    </w:p>
    <w:p>
      <w:pPr>
        <w:spacing w:after="140" w:before="0" w:line="320"/>
        <w:jc w:val="left"/>
      </w:pPr>
      <w:r>
        <w:rPr>
          <w:rFonts w:ascii="Calibri" w:cs="Calibri" w:eastAsia="Calibri" w:hAnsi="Calibri"/>
          <w:b w:val="false"/>
          <w:bCs w:val="false"/>
          <w:i w:val="false"/>
          <w:iCs w:val="false"/>
          <w:color w:val="1A1A1A"/>
          <w:sz w:val="22"/>
          <w:szCs w:val="22"/>
        </w:rPr>
        <w:t xml:space="preserve">The recommendation reflects three judgements. First, the IPO context creates execution risk that argues against immediate external CEO appointment. Second, the internal candidates are strong enough that with structured development they may emerge as the right post-IPO CEO. Third, parallel external candidate evaluation provides both option value and benchmark — even if the final decision is internal, having evaluated external candidates strengthens the decision.</w:t>
      </w:r>
    </w:p>
    <w:p>
      <w:pPr>
        <w:pStyle w:val="Heading2"/>
        <w:spacing w:after="160" w:before="300"/>
      </w:pPr>
      <w:r>
        <w:rPr>
          <w:rFonts w:ascii="Georgia" w:cs="Georgia" w:eastAsia="Georgia" w:hAnsi="Georgia"/>
          <w:b/>
          <w:bCs/>
          <w:color w:val="1A1A1A"/>
          <w:sz w:val="25"/>
          <w:szCs w:val="25"/>
        </w:rPr>
        <w:t xml:space="preserve">3. Specific Q2-Q3 2026 work programme</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Internal development. </w:t>
      </w:r>
      <w:r>
        <w:rPr>
          <w:rFonts w:ascii="Calibri" w:cs="Calibri" w:eastAsia="Calibri" w:hAnsi="Calibri"/>
          <w:b w:val="false"/>
          <w:bCs w:val="false"/>
          <w:i w:val="false"/>
          <w:iCs w:val="false"/>
          <w:color w:val="1A1A1A"/>
          <w:sz w:val="22"/>
          <w:szCs w:val="22"/>
        </w:rPr>
        <w:t xml:space="preserve">Janet Achieng to take expanded responsibility for the Tanzania expansion operational leadership and the Q3 capital plan investor communications. Mary Wanjiku to lead the IPO investor roadshow planning and to take the public-facing role on the Q2 and Q3 IPO milestones.</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External coaching. </w:t>
      </w:r>
      <w:r>
        <w:rPr>
          <w:rFonts w:ascii="Calibri" w:cs="Calibri" w:eastAsia="Calibri" w:hAnsi="Calibri"/>
          <w:b w:val="false"/>
          <w:bCs w:val="false"/>
          <w:i w:val="false"/>
          <w:iCs w:val="false"/>
          <w:color w:val="1A1A1A"/>
          <w:sz w:val="22"/>
          <w:szCs w:val="22"/>
        </w:rPr>
        <w:t xml:space="preserve">Both candidates engaged with executive coaches (separately, not jointly) for 12-month development programmes focused on CEO-level capability.</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External candidate evaluation. </w:t>
      </w:r>
      <w:r>
        <w:rPr>
          <w:rFonts w:ascii="Calibri" w:cs="Calibri" w:eastAsia="Calibri" w:hAnsi="Calibri"/>
          <w:b w:val="false"/>
          <w:bCs w:val="false"/>
          <w:i w:val="false"/>
          <w:iCs w:val="false"/>
          <w:color w:val="1A1A1A"/>
          <w:sz w:val="22"/>
          <w:szCs w:val="22"/>
        </w:rPr>
        <w:t xml:space="preserve">Retained search firm engagement (recommend Spencer Stuart or Egon Zehnder) for external candidate mapping. Initial scoping in Q2; long-list in Q3; short-list for committee review in Q4.</w:t>
      </w:r>
    </w:p>
    <w:p>
      <w:pPr>
        <w:pStyle w:val="ListParagraph"/>
        <w:numPr>
          <w:ilvl w:val="0"/>
          <w:numId w:val="2"/>
        </w:numPr>
        <w:spacing w:after="90" w:line="320"/>
      </w:pPr>
      <w:r>
        <w:rPr>
          <w:rFonts w:ascii="Calibri" w:cs="Calibri" w:eastAsia="Calibri" w:hAnsi="Calibri"/>
          <w:b/>
          <w:bCs/>
          <w:i w:val="false"/>
          <w:iCs w:val="false"/>
          <w:color w:val="1A1A1A"/>
          <w:sz w:val="22"/>
          <w:szCs w:val="22"/>
        </w:rPr>
        <w:t xml:space="preserve">Founder transition framework. </w:t>
      </w:r>
      <w:r>
        <w:rPr>
          <w:rFonts w:ascii="Calibri" w:cs="Calibri" w:eastAsia="Calibri" w:hAnsi="Calibri"/>
          <w:b w:val="false"/>
          <w:bCs w:val="false"/>
          <w:i w:val="false"/>
          <w:iCs w:val="false"/>
          <w:color w:val="1A1A1A"/>
          <w:sz w:val="22"/>
          <w:szCs w:val="22"/>
        </w:rPr>
        <w:t xml:space="preserve">The Committee will develop a founder transition framework specifying the founder's post-IPO role (Executive Chair, then Non-Executive Chair on a defined timeline). Draft for Committee review in July.</w:t>
      </w:r>
    </w:p>
    <w:p>
      <w:pPr>
        <w:pStyle w:val="Heading2"/>
        <w:spacing w:after="160" w:before="300"/>
      </w:pPr>
      <w:r>
        <w:rPr>
          <w:rFonts w:ascii="Georgia" w:cs="Georgia" w:eastAsia="Georgia" w:hAnsi="Georgia"/>
          <w:b/>
          <w:bCs/>
          <w:color w:val="1A1A1A"/>
          <w:sz w:val="25"/>
          <w:szCs w:val="25"/>
        </w:rPr>
        <w:t xml:space="preserve">4. Risks and mitigations</w:t>
      </w:r>
    </w:p>
    <w:p>
      <w:pPr>
        <w:pStyle w:val="ListParagraph"/>
        <w:numPr>
          <w:ilvl w:val="0"/>
          <w:numId w:val="2"/>
        </w:numPr>
        <w:spacing w:after="90" w:line="320"/>
      </w:pPr>
      <w:r>
        <w:rPr>
          <w:rFonts w:ascii="Calibri" w:cs="Calibri" w:eastAsia="Calibri" w:hAnsi="Calibri"/>
          <w:color w:val="1A1A1A"/>
          <w:sz w:val="22"/>
          <w:szCs w:val="22"/>
        </w:rPr>
        <w:t xml:space="preserve">Risk: founder transition signalling affects IPO investor confidence. Mitigation: clear and consistent communication of the founder's continued involvement (Executive Chair, then Non-Executive Chair) and the parallel succession process.</w:t>
      </w:r>
    </w:p>
    <w:p>
      <w:pPr>
        <w:pStyle w:val="ListParagraph"/>
        <w:numPr>
          <w:ilvl w:val="0"/>
          <w:numId w:val="2"/>
        </w:numPr>
        <w:spacing w:after="90" w:line="320"/>
      </w:pPr>
      <w:r>
        <w:rPr>
          <w:rFonts w:ascii="Calibri" w:cs="Calibri" w:eastAsia="Calibri" w:hAnsi="Calibri"/>
          <w:color w:val="1A1A1A"/>
          <w:sz w:val="22"/>
          <w:szCs w:val="22"/>
        </w:rPr>
        <w:t xml:space="preserve">Risk: internal candidates develop expectation of immediate post-IPO CEO appointment that the Committee cannot guarantee. Mitigation: explicit framing in the development conversations that the Committee retains decision authority and that external evaluation is occurring in parallel.</w:t>
      </w:r>
    </w:p>
    <w:p>
      <w:pPr>
        <w:pStyle w:val="ListParagraph"/>
        <w:numPr>
          <w:ilvl w:val="0"/>
          <w:numId w:val="2"/>
        </w:numPr>
        <w:spacing w:after="90" w:line="320"/>
      </w:pPr>
      <w:r>
        <w:rPr>
          <w:rFonts w:ascii="Calibri" w:cs="Calibri" w:eastAsia="Calibri" w:hAnsi="Calibri"/>
          <w:color w:val="1A1A1A"/>
          <w:sz w:val="22"/>
          <w:szCs w:val="22"/>
        </w:rPr>
        <w:t xml:space="preserve">Risk: external candidate evaluation surfaces a strong external candidate creating decision pressure ahead of full internal development period. Mitigation: the Committee frames the search as benchmarking and option-creation, not commitment-creation.</w:t>
      </w:r>
    </w:p>
    <w:p>
      <w:pPr>
        <w:pStyle w:val="Heading2"/>
        <w:spacing w:after="160" w:before="300"/>
      </w:pPr>
      <w:r>
        <w:rPr>
          <w:rFonts w:ascii="Georgia" w:cs="Georgia" w:eastAsia="Georgia" w:hAnsi="Georgia"/>
          <w:b/>
          <w:bCs/>
          <w:color w:val="1A1A1A"/>
          <w:sz w:val="25"/>
          <w:szCs w:val="25"/>
        </w:rPr>
        <w:t xml:space="preserve">Decisions requested from the Committee and the Board</w:t>
      </w:r>
    </w:p>
    <w:p>
      <w:pPr>
        <w:pStyle w:val="Heading3"/>
        <w:spacing w:after="120" w:before="220"/>
      </w:pPr>
      <w:r>
        <w:rPr>
          <w:rFonts w:ascii="Calibri" w:cs="Calibri" w:eastAsia="Calibri" w:hAnsi="Calibri"/>
          <w:b/>
          <w:bCs/>
          <w:color w:val="1A1A1A"/>
          <w:sz w:val="22"/>
          <w:szCs w:val="22"/>
        </w:rPr>
        <w:t xml:space="preserve">From the Committee</w:t>
      </w:r>
    </w:p>
    <w:p>
      <w:pPr>
        <w:pStyle w:val="ListParagraph"/>
        <w:numPr>
          <w:ilvl w:val="0"/>
          <w:numId w:val="2"/>
        </w:numPr>
        <w:spacing w:after="90" w:line="320"/>
      </w:pPr>
      <w:r>
        <w:rPr>
          <w:rFonts w:ascii="Calibri" w:cs="Calibri" w:eastAsia="Calibri" w:hAnsi="Calibri"/>
          <w:color w:val="1A1A1A"/>
          <w:sz w:val="22"/>
          <w:szCs w:val="22"/>
        </w:rPr>
        <w:t xml:space="preserve">Endorse path C (combined internal development and external evaluation).</w:t>
      </w:r>
    </w:p>
    <w:p>
      <w:pPr>
        <w:pStyle w:val="ListParagraph"/>
        <w:numPr>
          <w:ilvl w:val="0"/>
          <w:numId w:val="2"/>
        </w:numPr>
        <w:spacing w:after="90" w:line="320"/>
      </w:pPr>
      <w:r>
        <w:rPr>
          <w:rFonts w:ascii="Calibri" w:cs="Calibri" w:eastAsia="Calibri" w:hAnsi="Calibri"/>
          <w:color w:val="1A1A1A"/>
          <w:sz w:val="22"/>
          <w:szCs w:val="22"/>
        </w:rPr>
        <w:t xml:space="preserve">Endorse the Q2-Q3 work programme.</w:t>
      </w:r>
    </w:p>
    <w:p>
      <w:pPr>
        <w:pStyle w:val="ListParagraph"/>
        <w:numPr>
          <w:ilvl w:val="0"/>
          <w:numId w:val="2"/>
        </w:numPr>
        <w:spacing w:after="90" w:line="320"/>
      </w:pPr>
      <w:r>
        <w:rPr>
          <w:rFonts w:ascii="Calibri" w:cs="Calibri" w:eastAsia="Calibri" w:hAnsi="Calibri"/>
          <w:color w:val="1A1A1A"/>
          <w:sz w:val="22"/>
          <w:szCs w:val="22"/>
        </w:rPr>
        <w:t xml:space="preserve">Endorse the founder transition framework development for July review.</w:t>
      </w:r>
    </w:p>
    <w:p>
      <w:pPr>
        <w:pStyle w:val="Heading3"/>
        <w:spacing w:after="120" w:before="220"/>
      </w:pPr>
      <w:r>
        <w:rPr>
          <w:rFonts w:ascii="Calibri" w:cs="Calibri" w:eastAsia="Calibri" w:hAnsi="Calibri"/>
          <w:b/>
          <w:bCs/>
          <w:color w:val="1A1A1A"/>
          <w:sz w:val="22"/>
          <w:szCs w:val="22"/>
        </w:rPr>
        <w:t xml:space="preserve">From the Board</w:t>
      </w:r>
    </w:p>
    <w:p>
      <w:pPr>
        <w:pStyle w:val="ListParagraph"/>
        <w:numPr>
          <w:ilvl w:val="0"/>
          <w:numId w:val="2"/>
        </w:numPr>
        <w:spacing w:after="90" w:line="320"/>
      </w:pPr>
      <w:r>
        <w:rPr>
          <w:rFonts w:ascii="Calibri" w:cs="Calibri" w:eastAsia="Calibri" w:hAnsi="Calibri"/>
          <w:color w:val="1A1A1A"/>
          <w:sz w:val="22"/>
          <w:szCs w:val="22"/>
        </w:rPr>
        <w:t xml:space="preserve">Receive the Nominations Committee's first formal succession progress paper.</w:t>
      </w:r>
    </w:p>
    <w:p>
      <w:pPr>
        <w:pStyle w:val="ListParagraph"/>
        <w:numPr>
          <w:ilvl w:val="0"/>
          <w:numId w:val="2"/>
        </w:numPr>
        <w:spacing w:after="90" w:line="320"/>
      </w:pPr>
      <w:r>
        <w:rPr>
          <w:rFonts w:ascii="Calibri" w:cs="Calibri" w:eastAsia="Calibri" w:hAnsi="Calibri"/>
          <w:color w:val="1A1A1A"/>
          <w:sz w:val="22"/>
          <w:szCs w:val="22"/>
        </w:rPr>
        <w:t xml:space="preserve">Endorse the recommended path and Q2-Q3 work programme.</w:t>
      </w:r>
    </w:p>
    <w:p>
      <w:pPr>
        <w:pStyle w:val="ListParagraph"/>
        <w:numPr>
          <w:ilvl w:val="0"/>
          <w:numId w:val="2"/>
        </w:numPr>
        <w:spacing w:after="90" w:line="320"/>
      </w:pPr>
      <w:r>
        <w:rPr>
          <w:rFonts w:ascii="Calibri" w:cs="Calibri" w:eastAsia="Calibri" w:hAnsi="Calibri"/>
          <w:color w:val="1A1A1A"/>
          <w:sz w:val="22"/>
          <w:szCs w:val="22"/>
        </w:rPr>
        <w:t xml:space="preserve">Acknowledge the founder's clear signalling of intent and the Committee's structured response.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B4 OF 5</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Audit Committee — 22 April 2026 — Sendwa Logistics</w:t>
      </w:r>
    </w:p>
    <w:p>
      <w:pPr>
        <w:spacing w:after="240"/>
      </w:pPr>
      <w:r>
        <w:rPr>
          <w:rFonts w:ascii="Georgia" w:cs="Georgia" w:eastAsia="Georgia" w:hAnsi="Georgia"/>
          <w:i/>
          <w:iCs/>
          <w:color w:val="2B2B2A"/>
          <w:sz w:val="26"/>
          <w:szCs w:val="26"/>
        </w:rPr>
        <w:t xml:space="preserve">Confidential — Committee members and senior management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Wednesday, 22 April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09:00 — 12:45</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Sendwa Logistics Headquarters, Nairobi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Linda Mwende</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 (3 of 3)</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w:t>
      </w:r>
    </w:p>
    <w:p>
      <w:pPr>
        <w:spacing w:after="140" w:before="0" w:line="320"/>
        <w:jc w:val="left"/>
      </w:pPr>
      <w:r>
        <w:rPr>
          <w:rFonts w:ascii="Calibri" w:cs="Calibri" w:eastAsia="Calibri" w:hAnsi="Calibri"/>
          <w:b w:val="false"/>
          <w:bCs w:val="false"/>
          <w:i w:val="false"/>
          <w:iCs w:val="false"/>
          <w:color w:val="1A1A1A"/>
          <w:sz w:val="22"/>
          <w:szCs w:val="22"/>
        </w:rPr>
        <w:t xml:space="preserve">Present: Linda Mwende (Chair), Bram Mwalo, Patrick Owuor. Management: Samuel Kimotho (CEO), Mary Wanjiku (CFO), James Karanja (Internal Audit), Joseph Mulumba (Tax Director). PwC partner Catherine Wairimu attended for the PwC engagement item. Beatrice Atieno (Company Secretary).</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None new.</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Minutes of the meeting held on 21 January 2026 confirmed.</w:t>
      </w:r>
    </w:p>
    <w:p>
      <w:pPr>
        <w:pStyle w:val="Heading2"/>
        <w:spacing w:after="160" w:before="300"/>
      </w:pPr>
      <w:r>
        <w:rPr>
          <w:rFonts w:ascii="Georgia" w:cs="Georgia" w:eastAsia="Georgia" w:hAnsi="Georgia"/>
          <w:b/>
          <w:bCs/>
          <w:color w:val="1A1A1A"/>
          <w:sz w:val="25"/>
          <w:szCs w:val="25"/>
        </w:rPr>
        <w:t xml:space="preserve">4. Item 1 — Cross-border tax disputes</w:t>
      </w:r>
    </w:p>
    <w:p>
      <w:pPr>
        <w:spacing w:after="140" w:before="0" w:line="320"/>
        <w:jc w:val="left"/>
      </w:pPr>
      <w:r>
        <w:rPr>
          <w:rFonts w:ascii="Calibri" w:cs="Calibri" w:eastAsia="Calibri" w:hAnsi="Calibri"/>
          <w:b w:val="false"/>
          <w:bCs w:val="false"/>
          <w:i w:val="false"/>
          <w:iCs w:val="false"/>
          <w:color w:val="1A1A1A"/>
          <w:sz w:val="22"/>
          <w:szCs w:val="22"/>
        </w:rPr>
        <w:t xml:space="preserve">The Tax Director presented Q1 status: 8 open disputes, USD 8.0m cumulative. EY engagement letter dated 12 February 2026; resolution programme targeting 5-6 dispute closures by Q3 2026.</w:t>
      </w:r>
    </w:p>
    <w:p>
      <w:pPr>
        <w:spacing w:after="140" w:before="0" w:line="320"/>
        <w:jc w:val="left"/>
      </w:pPr>
      <w:r>
        <w:rPr>
          <w:rFonts w:ascii="Calibri" w:cs="Calibri" w:eastAsia="Calibri" w:hAnsi="Calibri"/>
          <w:b w:val="false"/>
          <w:bCs w:val="false"/>
          <w:i w:val="false"/>
          <w:iCs w:val="false"/>
          <w:color w:val="1A1A1A"/>
          <w:sz w:val="22"/>
          <w:szCs w:val="22"/>
        </w:rPr>
        <w:t xml:space="preserve">Bram Mwalo opened questioning. He noted the disputes had grown from 3 to 8 in twelve months and asked the Tax Director whether this trajectory was driven by Sendwa's actions, regulatory authority actions, or both. The Tax Director indicated approximately one-third of new disputes reflected Sendwa transactions of newly-scrutinised pattern (specifically: equipment leasing arrangements between Kenya and Tanzania subsidiaries that Tanzania Revenue Authority has reclassified) and two-thirds reflected systematic increase in cross-border scrutiny by tax authorities across the region.</w:t>
      </w:r>
    </w:p>
    <w:p>
      <w:pPr>
        <w:spacing w:after="140" w:before="0" w:line="320"/>
        <w:jc w:val="left"/>
      </w:pPr>
      <w:r>
        <w:rPr>
          <w:rFonts w:ascii="Calibri" w:cs="Calibri" w:eastAsia="Calibri" w:hAnsi="Calibri"/>
          <w:b w:val="false"/>
          <w:bCs w:val="false"/>
          <w:i w:val="false"/>
          <w:iCs w:val="false"/>
          <w:color w:val="1A1A1A"/>
          <w:sz w:val="22"/>
          <w:szCs w:val="22"/>
        </w:rPr>
        <w:t xml:space="preserve">Bram Mwalo continued: he asked specifically about the IPO disclosure question. If the disputes resolve at par with the categorisation in this paper, all 8 would be disclosed but with USD 4.0m provisioned and USD 4.0m as contingent liability. The structural question for IPO investors is not the absolute amount but the rate of dispute creation. He asked whether the disclosure narrative would address the rate, not just the stock.</w:t>
      </w:r>
    </w:p>
    <w:p>
      <w:pPr>
        <w:spacing w:after="140" w:before="0" w:line="320"/>
        <w:jc w:val="left"/>
      </w:pPr>
      <w:r>
        <w:rPr>
          <w:rFonts w:ascii="Calibri" w:cs="Calibri" w:eastAsia="Calibri" w:hAnsi="Calibri"/>
          <w:b w:val="false"/>
          <w:bCs w:val="false"/>
          <w:i w:val="false"/>
          <w:iCs w:val="false"/>
          <w:color w:val="1A1A1A"/>
          <w:sz w:val="22"/>
          <w:szCs w:val="22"/>
        </w:rPr>
        <w:t xml:space="preserve">The Tax Director and CFO agreed; the prospectus narrative would address dispute origination rate as well as resolution rate, framed as a structural feature of the regional tax environment rather than a Sendwa-specific issue.</w:t>
      </w:r>
    </w:p>
    <w:p>
      <w:pPr>
        <w:spacing w:after="140" w:before="0" w:line="320"/>
        <w:jc w:val="left"/>
      </w:pPr>
      <w:r>
        <w:rPr>
          <w:rFonts w:ascii="Calibri" w:cs="Calibri" w:eastAsia="Calibri" w:hAnsi="Calibri"/>
          <w:b w:val="false"/>
          <w:bCs w:val="false"/>
          <w:i w:val="false"/>
          <w:iCs w:val="false"/>
          <w:color w:val="1A1A1A"/>
          <w:sz w:val="22"/>
          <w:szCs w:val="22"/>
        </w:rPr>
        <w:t xml:space="preserve">Patrick Owuor asked about EY's track record on similar regional tax dispute resolution programmes. The Tax Director confirmed EY had led similar programmes for two peer regional logistics operators, with resolution rates of 60-70% within 12 months.</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(1) endorse the EY-led resolution programme; (2) endorse full disclosure of all 8 disputes in the IPO prospectus; (3) prospectus narrative to address dispute origination rate as well as resolution; (4) full prospectus disclosure draft to be reviewed at the July Audit Committee meeting.</w:t>
      </w:r>
    </w:p>
    <w:p>
      <w:pPr>
        <w:pStyle w:val="Heading2"/>
        <w:spacing w:after="160" w:before="300"/>
      </w:pPr>
      <w:r>
        <w:rPr>
          <w:rFonts w:ascii="Georgia" w:cs="Georgia" w:eastAsia="Georgia" w:hAnsi="Georgia"/>
          <w:b/>
          <w:bCs/>
          <w:color w:val="1A1A1A"/>
          <w:sz w:val="25"/>
          <w:szCs w:val="25"/>
        </w:rPr>
        <w:t xml:space="preserve">5. Item 2 — Q1 financial reporting</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Q1 reporting refresh to IPO standards. PwC sign-off received.</w:t>
      </w:r>
    </w:p>
    <w:p>
      <w:pPr>
        <w:spacing w:after="140" w:before="0" w:line="320"/>
        <w:jc w:val="left"/>
      </w:pPr>
      <w:r>
        <w:rPr>
          <w:rFonts w:ascii="Calibri" w:cs="Calibri" w:eastAsia="Calibri" w:hAnsi="Calibri"/>
          <w:b w:val="false"/>
          <w:bCs w:val="false"/>
          <w:i w:val="false"/>
          <w:iCs w:val="false"/>
          <w:color w:val="1A1A1A"/>
          <w:sz w:val="22"/>
          <w:szCs w:val="22"/>
        </w:rPr>
        <w:t xml:space="preserve">Bram Mwalo raised the segment reporting transparency concern from the paper. He asked the CFO whether the country-by-country segment narrative had been drafted yet and whether the Ethiopia 4% margin reading would be appropriately contextualised.</w:t>
      </w:r>
    </w:p>
    <w:p>
      <w:pPr>
        <w:spacing w:after="140" w:before="0" w:line="320"/>
        <w:jc w:val="left"/>
      </w:pPr>
      <w:r>
        <w:rPr>
          <w:rFonts w:ascii="Calibri" w:cs="Calibri" w:eastAsia="Calibri" w:hAnsi="Calibri"/>
          <w:b w:val="false"/>
          <w:bCs w:val="false"/>
          <w:i w:val="false"/>
          <w:iCs w:val="false"/>
          <w:color w:val="1A1A1A"/>
          <w:sz w:val="22"/>
          <w:szCs w:val="22"/>
        </w:rPr>
        <w:t xml:space="preserve">The CFO indicated the segment narrative was in development. The Ethiopia margin reflected the country's earlier-stage operations (entered 2023, scaling phase) and the narrative would explain the trajectory expectation. Bram Mwalo asked that the narrative be reviewed at the July Audit Committee meeting before broader circulation.</w:t>
      </w:r>
    </w:p>
    <w:p>
      <w:pPr>
        <w:spacing w:after="140" w:before="0" w:line="320"/>
        <w:jc w:val="left"/>
      </w:pPr>
      <w:r>
        <w:rPr>
          <w:rFonts w:ascii="Calibri" w:cs="Calibri" w:eastAsia="Calibri" w:hAnsi="Calibri"/>
          <w:b w:val="false"/>
          <w:bCs w:val="false"/>
          <w:i w:val="false"/>
          <w:iCs w:val="false"/>
          <w:color w:val="1A1A1A"/>
          <w:sz w:val="22"/>
          <w:szCs w:val="22"/>
        </w:rPr>
        <w:t xml:space="preserve">Linda Mwende noted the reporting refresh quality and confirmed the Committee's appreciation of the work.</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endorsed the Q1 financial reporting and PwC sign-off; segment narrative to be reviewed at July Audit Committee meeting.</w:t>
      </w:r>
    </w:p>
    <w:p>
      <w:pPr>
        <w:pStyle w:val="Heading2"/>
        <w:spacing w:after="160" w:before="300"/>
      </w:pPr>
      <w:r>
        <w:rPr>
          <w:rFonts w:ascii="Georgia" w:cs="Georgia" w:eastAsia="Georgia" w:hAnsi="Georgia"/>
          <w:b/>
          <w:bCs/>
          <w:color w:val="1A1A1A"/>
          <w:sz w:val="25"/>
          <w:szCs w:val="25"/>
        </w:rPr>
        <w:t xml:space="preserve">6. Item 3 — PwC IPO audit engagement</w:t>
      </w:r>
    </w:p>
    <w:p>
      <w:pPr>
        <w:spacing w:after="140" w:before="0" w:line="320"/>
        <w:jc w:val="left"/>
      </w:pPr>
      <w:r>
        <w:rPr>
          <w:rFonts w:ascii="Calibri" w:cs="Calibri" w:eastAsia="Calibri" w:hAnsi="Calibri"/>
          <w:b w:val="false"/>
          <w:bCs w:val="false"/>
          <w:i w:val="false"/>
          <w:iCs w:val="false"/>
          <w:color w:val="1A1A1A"/>
          <w:sz w:val="22"/>
          <w:szCs w:val="22"/>
        </w:rPr>
        <w:t xml:space="preserve">Catherine Wairimu (PwC) presented the engagement update. Q1 review complete with no material findings.</w:t>
      </w:r>
    </w:p>
    <w:p>
      <w:pPr>
        <w:spacing w:after="140" w:before="0" w:line="320"/>
        <w:jc w:val="left"/>
      </w:pPr>
      <w:r>
        <w:rPr>
          <w:rFonts w:ascii="Calibri" w:cs="Calibri" w:eastAsia="Calibri" w:hAnsi="Calibri"/>
          <w:b w:val="false"/>
          <w:bCs w:val="false"/>
          <w:i w:val="false"/>
          <w:iCs w:val="false"/>
          <w:color w:val="1A1A1A"/>
          <w:sz w:val="22"/>
          <w:szCs w:val="22"/>
        </w:rPr>
        <w:t xml:space="preserve">Patrick Owuor asked about PwC's read on IPO readiness from a financial reporting perspective. Catherine Wairimu indicated PwC's view was that financial reporting was ahead of typical pre-IPO readiness curves; the cross-border tax disputes were the principal area requiring continued attention.</w:t>
      </w:r>
    </w:p>
    <w:p>
      <w:pPr>
        <w:spacing w:after="140" w:before="0" w:line="320"/>
        <w:jc w:val="left"/>
      </w:pPr>
      <w:r>
        <w:rPr>
          <w:rFonts w:ascii="Calibri" w:cs="Calibri" w:eastAsia="Calibri" w:hAnsi="Calibri"/>
          <w:b w:val="false"/>
          <w:bCs w:val="false"/>
          <w:i w:val="false"/>
          <w:iCs w:val="false"/>
          <w:color w:val="1A1A1A"/>
          <w:sz w:val="22"/>
          <w:szCs w:val="22"/>
        </w:rPr>
        <w:t xml:space="preserve">Bram Mwalo asked specifically about the segment reporting transition. Catherine Wairimu confirmed the transition was robust and would withstand IPO scrutiny.</w:t>
      </w:r>
    </w:p>
    <w:p>
      <w:pPr>
        <w:pStyle w:val="Heading2"/>
        <w:spacing w:after="160" w:before="300"/>
      </w:pPr>
      <w:r>
        <w:rPr>
          <w:rFonts w:ascii="Georgia" w:cs="Georgia" w:eastAsia="Georgia" w:hAnsi="Georgia"/>
          <w:b/>
          <w:bCs/>
          <w:color w:val="1A1A1A"/>
          <w:sz w:val="25"/>
          <w:szCs w:val="25"/>
        </w:rPr>
        <w:t xml:space="preserve">7. Item 4 — Internal Audit programme</w:t>
      </w:r>
    </w:p>
    <w:p>
      <w:pPr>
        <w:spacing w:after="140" w:before="0" w:line="320"/>
        <w:jc w:val="left"/>
      </w:pPr>
      <w:r>
        <w:rPr>
          <w:rFonts w:ascii="Calibri" w:cs="Calibri" w:eastAsia="Calibri" w:hAnsi="Calibri"/>
          <w:b w:val="false"/>
          <w:bCs w:val="false"/>
          <w:i w:val="false"/>
          <w:iCs w:val="false"/>
          <w:color w:val="1A1A1A"/>
          <w:sz w:val="22"/>
          <w:szCs w:val="22"/>
        </w:rPr>
        <w:t xml:space="preserve">The Head of Internal Audit presented Q1 status. Three reviews completed; 22 open findings (3 high-risk).</w:t>
      </w:r>
    </w:p>
    <w:p>
      <w:pPr>
        <w:spacing w:after="140" w:before="0" w:line="320"/>
        <w:jc w:val="left"/>
      </w:pPr>
      <w:r>
        <w:rPr>
          <w:rFonts w:ascii="Calibri" w:cs="Calibri" w:eastAsia="Calibri" w:hAnsi="Calibri"/>
          <w:b w:val="false"/>
          <w:bCs w:val="false"/>
          <w:i w:val="false"/>
          <w:iCs w:val="false"/>
          <w:color w:val="1A1A1A"/>
          <w:sz w:val="22"/>
          <w:szCs w:val="22"/>
        </w:rPr>
        <w:t xml:space="preserve">Linda Mwende asked about the two high-risk findings on Cross-Border Operations compliance gaps in Ethiopia and Zambia. The Head of Internal Audit indicated remediation was committed within 90 days for both.</w:t>
      </w:r>
    </w:p>
    <w:p>
      <w:pPr>
        <w:spacing w:after="140" w:before="0" w:line="320"/>
        <w:jc w:val="left"/>
      </w:pPr>
      <w:r>
        <w:rPr>
          <w:rFonts w:ascii="Calibri" w:cs="Calibri" w:eastAsia="Calibri" w:hAnsi="Calibri"/>
          <w:b w:val="false"/>
          <w:bCs w:val="false"/>
          <w:i w:val="false"/>
          <w:iCs w:val="false"/>
          <w:color w:val="1A1A1A"/>
          <w:sz w:val="22"/>
          <w:szCs w:val="22"/>
        </w:rPr>
        <w:t xml:space="preserve">Bram Mwalo asked whether the cyber high-risk finding (patching cadence) was being addressed within the cyber tooling investment proposal in development. The CEO confirmed yes; the patching cadence remediation would be incorporated into the Q2 Board paper on cyber tooling.</w:t>
      </w:r>
    </w:p>
    <w:p>
      <w:pPr>
        <w:pStyle w:val="Heading2"/>
        <w:spacing w:after="160" w:before="300"/>
      </w:pPr>
      <w:r>
        <w:rPr>
          <w:rFonts w:ascii="Georgia" w:cs="Georgia" w:eastAsia="Georgia" w:hAnsi="Georgia"/>
          <w:b/>
          <w:bCs/>
          <w:color w:val="1A1A1A"/>
          <w:sz w:val="25"/>
          <w:szCs w:val="25"/>
        </w:rPr>
        <w:t xml:space="preserve">8. Item 5 — Tanzania transport incident</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the financial implications. USD 0.6m expense provisioned in Q1; USD 1.4m insurance receivable expected Q2.</w:t>
      </w:r>
    </w:p>
    <w:p>
      <w:pPr>
        <w:spacing w:after="140" w:before="0" w:line="320"/>
        <w:jc w:val="left"/>
      </w:pPr>
      <w:r>
        <w:rPr>
          <w:rFonts w:ascii="Calibri" w:cs="Calibri" w:eastAsia="Calibri" w:hAnsi="Calibri"/>
          <w:b w:val="false"/>
          <w:bCs w:val="false"/>
          <w:i w:val="false"/>
          <w:iCs w:val="false"/>
          <w:color w:val="1A1A1A"/>
          <w:sz w:val="22"/>
          <w:szCs w:val="22"/>
        </w:rPr>
        <w:t xml:space="preserve">Linda Mwende asked about the route resilience assessment that had been commissioned. The CEO confirmed the assessment had been commissioned with a regional consulting firm; preliminary findings expected June. Bram Mwalo asked that the IPO prospectus disclosure of this incident be reviewed at July alongside the assessment findings.</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Committee resolved to: note the incident provisioning treatment; review the IPO prospectus disclosure of the incident at the July Audit Committee meeting alongside the route resilience assessment.</w:t>
      </w:r>
    </w:p>
    <w:p>
      <w:pPr>
        <w:pStyle w:val="Heading2"/>
        <w:spacing w:after="160" w:before="300"/>
      </w:pPr>
      <w:r>
        <w:rPr>
          <w:rFonts w:ascii="Georgia" w:cs="Georgia" w:eastAsia="Georgia" w:hAnsi="Georgia"/>
          <w:b/>
          <w:bCs/>
          <w:color w:val="1A1A1A"/>
          <w:sz w:val="25"/>
          <w:szCs w:val="25"/>
        </w:rPr>
        <w:t xml:space="preserve">9. Other matters</w:t>
      </w:r>
    </w:p>
    <w:p>
      <w:pPr>
        <w:spacing w:after="140" w:before="0" w:line="320"/>
        <w:jc w:val="left"/>
      </w:pPr>
      <w:r>
        <w:rPr>
          <w:rFonts w:ascii="Calibri" w:cs="Calibri" w:eastAsia="Calibri" w:hAnsi="Calibri"/>
          <w:b w:val="false"/>
          <w:bCs w:val="false"/>
          <w:i w:val="false"/>
          <w:iCs w:val="false"/>
          <w:color w:val="1A1A1A"/>
          <w:sz w:val="22"/>
          <w:szCs w:val="22"/>
        </w:rPr>
        <w:t xml:space="preserve">None tabled.</w:t>
      </w:r>
    </w:p>
    <w:p>
      <w:pPr>
        <w:pStyle w:val="Heading2"/>
        <w:spacing w:after="160" w:before="300"/>
      </w:pPr>
      <w:r>
        <w:rPr>
          <w:rFonts w:ascii="Georgia" w:cs="Georgia" w:eastAsia="Georgia" w:hAnsi="Georgia"/>
          <w:b/>
          <w:bCs/>
          <w:color w:val="1A1A1A"/>
          <w:sz w:val="25"/>
          <w:szCs w:val="25"/>
        </w:rPr>
        <w:t xml:space="preserve">10.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Next Audit Committee meeting: Wednesday 22 July 2026 at 09:00.</w:t>
      </w:r>
    </w:p>
    <w:p>
      <w:pPr>
        <w:pStyle w:val="Heading2"/>
        <w:spacing w:after="160" w:before="300"/>
      </w:pPr>
      <w:r>
        <w:rPr>
          <w:rFonts w:ascii="Georgia" w:cs="Georgia" w:eastAsia="Georgia" w:hAnsi="Georgia"/>
          <w:b/>
          <w:bCs/>
          <w:color w:val="1A1A1A"/>
          <w:sz w:val="25"/>
          <w:szCs w:val="25"/>
        </w:rPr>
        <w:t xml:space="preserve">11. Closing</w:t>
      </w:r>
    </w:p>
    <w:p>
      <w:pPr>
        <w:spacing w:after="140" w:before="0" w:line="320"/>
        <w:jc w:val="left"/>
      </w:pPr>
      <w:r>
        <w:rPr>
          <w:rFonts w:ascii="Calibri" w:cs="Calibri" w:eastAsia="Calibri" w:hAnsi="Calibri"/>
          <w:b w:val="false"/>
          <w:bCs w:val="false"/>
          <w:i w:val="false"/>
          <w:iCs w:val="false"/>
          <w:color w:val="1A1A1A"/>
          <w:sz w:val="22"/>
          <w:szCs w:val="22"/>
        </w:rPr>
        <w:t xml:space="preserve">Meeting closed at 12:45.</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Linda Mwende, Chair                                      Date</w:t>
      </w:r>
    </w:p>
    <w:p>
      <w:r>
        <w:br w:type="page"/>
      </w:r>
    </w:p>
    <w:p>
      <w:pPr>
        <w:spacing w:after="280"/>
      </w:pPr>
      <w:r>
        <w:t xml:space="preserve"/>
      </w:r>
    </w:p>
    <w:p>
      <w:pPr>
        <w:spacing w:after="60"/>
      </w:pPr>
      <w:r>
        <w:rPr>
          <w:rFonts w:ascii="Calibri" w:cs="Calibri" w:eastAsia="Calibri" w:hAnsi="Calibri"/>
          <w:b/>
          <w:bCs/>
          <w:color w:val="8B2E2B"/>
          <w:spacing w:val="80"/>
          <w:sz w:val="16"/>
          <w:szCs w:val="16"/>
        </w:rPr>
        <w:t xml:space="preserve">DOCUMENT B5 OF 5</w:t>
      </w:r>
    </w:p>
    <w:p>
      <w:pPr>
        <w:pBdr>
          <w:bottom w:val="single" w:color="8B2E2B" w:sz="6" w:space="10"/>
        </w:pBdr>
        <w:spacing w:after="280"/>
      </w:pPr>
      <w:r>
        <w:t xml:space="preserve"/>
      </w:r>
    </w:p>
    <w:p>
      <w:pPr>
        <w:spacing w:after="120"/>
      </w:pPr>
      <w:r>
        <w:rPr>
          <w:rFonts w:ascii="Georgia" w:cs="Georgia" w:eastAsia="Georgia" w:hAnsi="Georgia"/>
          <w:b/>
          <w:bCs/>
          <w:color w:val="1A1A1A"/>
          <w:sz w:val="44"/>
          <w:szCs w:val="44"/>
        </w:rPr>
        <w:t xml:space="preserve">Minutes of the Board of Directors — 30 April 2026 — Sendwa Logistics</w:t>
      </w:r>
    </w:p>
    <w:p>
      <w:pPr>
        <w:spacing w:after="240"/>
      </w:pPr>
      <w:r>
        <w:rPr>
          <w:rFonts w:ascii="Georgia" w:cs="Georgia" w:eastAsia="Georgia" w:hAnsi="Georgia"/>
          <w:i/>
          <w:iCs/>
          <w:color w:val="2B2B2A"/>
          <w:sz w:val="26"/>
          <w:szCs w:val="26"/>
        </w:rPr>
        <w:t xml:space="preserve">Quarterly Board Meeting (Q1 2026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Date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Thursday, 30 April 2026</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Time</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09:00 — 16:30</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Venue</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Boardroom, Sendwa Logistics Headquarters, Nairobi</w:t>
            </w:r>
          </w:p>
        </w:tc>
      </w:tr>
      <w:tr>
        <w:tc>
          <w:tcPr>
            <w:tcW w:type="dxa" w:w="280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Chair</w:t>
            </w:r>
          </w:p>
        </w:tc>
        <w:tc>
          <w:tcPr>
            <w:tcW w:type="dxa" w:w="6560"/>
            <w:tcBorders>
              <w:top w:val="single" w:color="D9D3C1" w:sz="4"/>
              <w:left w:val="single" w:color="D9D3C1" w:sz="4"/>
              <w:bottom w:val="single" w:color="D9D3C1" w:sz="4"/>
              <w:right w:val="single" w:color="D9D3C1" w:sz="4"/>
            </w:tcBorders>
            <w:shd w:fill="FFFFFF"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Dr Helen Kimathi (Board Chair)</w:t>
            </w:r>
          </w:p>
        </w:tc>
      </w:tr>
      <w:tr>
        <w:tc>
          <w:tcPr>
            <w:tcW w:type="dxa" w:w="280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bCs/>
                <w:color w:val="1A1A1A"/>
                <w:sz w:val="20"/>
                <w:szCs w:val="20"/>
              </w:rPr>
              <w:t xml:space="preserve">Quorum</w:t>
            </w:r>
          </w:p>
        </w:tc>
        <w:tc>
          <w:tcPr>
            <w:tcW w:type="dxa" w:w="6560"/>
            <w:tcBorders>
              <w:top w:val="single" w:color="D9D3C1" w:sz="4"/>
              <w:left w:val="single" w:color="D9D3C1" w:sz="4"/>
              <w:bottom w:val="single" w:color="D9D3C1" w:sz="4"/>
              <w:right w:val="single" w:color="D9D3C1" w:sz="4"/>
            </w:tcBorders>
            <w:shd w:fill="F7F3EA" w:val="clear"/>
            <w:tcMar>
              <w:top w:type="dxa" w:w="100"/>
              <w:left w:type="dxa" w:w="140"/>
              <w:bottom w:type="dxa" w:w="100"/>
              <w:right w:type="dxa" w:w="140"/>
            </w:tcMar>
          </w:tcPr>
          <w:p>
            <w:pPr>
              <w:spacing w:after="0" w:line="290"/>
              <w:jc w:val="left"/>
            </w:pPr>
            <w:r>
              <w:rPr>
                <w:rFonts w:ascii="Calibri" w:cs="Calibri" w:eastAsia="Calibri" w:hAnsi="Calibri"/>
                <w:b w:val="false"/>
                <w:bCs w:val="false"/>
                <w:color w:val="1A1A1A"/>
                <w:sz w:val="20"/>
                <w:szCs w:val="20"/>
              </w:rPr>
              <w:t xml:space="preserve">Confirmed (8 of 9 directors present)</w:t>
            </w:r>
          </w:p>
        </w:tc>
      </w:tr>
    </w:tbl>
    <w:p>
      <w:pPr>
        <w:spacing w:after="280"/>
      </w:pPr>
      <w:r>
        <w:t xml:space="preserve"/>
      </w:r>
    </w:p>
    <w:p>
      <w:pPr>
        <w:pStyle w:val="Heading2"/>
        <w:spacing w:after="160" w:before="300"/>
      </w:pPr>
      <w:r>
        <w:rPr>
          <w:rFonts w:ascii="Georgia" w:cs="Georgia" w:eastAsia="Georgia" w:hAnsi="Georgia"/>
          <w:b/>
          <w:bCs/>
          <w:color w:val="1A1A1A"/>
          <w:sz w:val="25"/>
          <w:szCs w:val="25"/>
        </w:rPr>
        <w:t xml:space="preserve">1. Attendance</w:t>
      </w:r>
    </w:p>
    <w:p>
      <w:pPr>
        <w:spacing w:after="140" w:before="0" w:line="320"/>
        <w:jc w:val="left"/>
      </w:pPr>
      <w:r>
        <w:rPr>
          <w:rFonts w:ascii="Calibri" w:cs="Calibri" w:eastAsia="Calibri" w:hAnsi="Calibri"/>
          <w:b w:val="false"/>
          <w:bCs w:val="false"/>
          <w:i w:val="false"/>
          <w:iCs w:val="false"/>
          <w:color w:val="1A1A1A"/>
          <w:sz w:val="22"/>
          <w:szCs w:val="22"/>
        </w:rPr>
        <w:t xml:space="preserve">Present: Dr Helen Kimathi (Chair), Samuel Kimotho (Founder &amp; CEO), Janet Achieng (COO), Bram Mwalo, Linda Mwende, Patrick Owuor, Christine Ngugi, William Otieno, Margaret Achola.</w:t>
      </w:r>
    </w:p>
    <w:p>
      <w:pPr>
        <w:spacing w:after="140" w:before="0" w:line="320"/>
        <w:jc w:val="left"/>
      </w:pPr>
      <w:r>
        <w:rPr>
          <w:rFonts w:ascii="Calibri" w:cs="Calibri" w:eastAsia="Calibri" w:hAnsi="Calibri"/>
          <w:b w:val="false"/>
          <w:bCs w:val="false"/>
          <w:i w:val="false"/>
          <w:iCs w:val="false"/>
          <w:color w:val="1A1A1A"/>
          <w:sz w:val="22"/>
          <w:szCs w:val="22"/>
        </w:rPr>
        <w:t xml:space="preserve">Apology: Joseph Wamalwa (notified ahead).</w:t>
      </w:r>
    </w:p>
    <w:p>
      <w:pPr>
        <w:spacing w:after="140" w:before="0" w:line="320"/>
        <w:jc w:val="left"/>
      </w:pPr>
      <w:r>
        <w:rPr>
          <w:rFonts w:ascii="Calibri" w:cs="Calibri" w:eastAsia="Calibri" w:hAnsi="Calibri"/>
          <w:b w:val="false"/>
          <w:bCs w:val="false"/>
          <w:i w:val="false"/>
          <w:iCs w:val="false"/>
          <w:color w:val="1A1A1A"/>
          <w:sz w:val="22"/>
          <w:szCs w:val="22"/>
        </w:rPr>
        <w:t xml:space="preserve">Management: Mary Wanjiku (CFO), Joseph Mulumba (Tax Director), Beatrice Atieno (Company Secretary).</w:t>
      </w:r>
    </w:p>
    <w:p>
      <w:pPr>
        <w:pStyle w:val="Heading2"/>
        <w:spacing w:after="160" w:before="300"/>
      </w:pPr>
      <w:r>
        <w:rPr>
          <w:rFonts w:ascii="Georgia" w:cs="Georgia" w:eastAsia="Georgia" w:hAnsi="Georgia"/>
          <w:b/>
          <w:bCs/>
          <w:color w:val="1A1A1A"/>
          <w:sz w:val="25"/>
          <w:szCs w:val="25"/>
        </w:rPr>
        <w:t xml:space="preserve">2. Declarations of interest</w:t>
      </w:r>
    </w:p>
    <w:p>
      <w:pPr>
        <w:spacing w:after="140" w:before="0" w:line="320"/>
        <w:jc w:val="left"/>
      </w:pPr>
      <w:r>
        <w:rPr>
          <w:rFonts w:ascii="Calibri" w:cs="Calibri" w:eastAsia="Calibri" w:hAnsi="Calibri"/>
          <w:b w:val="false"/>
          <w:bCs w:val="false"/>
          <w:i w:val="false"/>
          <w:iCs w:val="false"/>
          <w:color w:val="1A1A1A"/>
          <w:sz w:val="22"/>
          <w:szCs w:val="22"/>
        </w:rPr>
        <w:t xml:space="preserve">None new.</w:t>
      </w:r>
    </w:p>
    <w:p>
      <w:pPr>
        <w:pStyle w:val="Heading2"/>
        <w:spacing w:after="160" w:before="300"/>
      </w:pPr>
      <w:r>
        <w:rPr>
          <w:rFonts w:ascii="Georgia" w:cs="Georgia" w:eastAsia="Georgia" w:hAnsi="Georgia"/>
          <w:b/>
          <w:bCs/>
          <w:color w:val="1A1A1A"/>
          <w:sz w:val="25"/>
          <w:szCs w:val="25"/>
        </w:rPr>
        <w:t xml:space="preserve">3. Minutes of previous meeting</w:t>
      </w:r>
    </w:p>
    <w:p>
      <w:pPr>
        <w:spacing w:after="140" w:before="0" w:line="320"/>
        <w:jc w:val="left"/>
      </w:pPr>
      <w:r>
        <w:rPr>
          <w:rFonts w:ascii="Calibri" w:cs="Calibri" w:eastAsia="Calibri" w:hAnsi="Calibri"/>
          <w:b w:val="false"/>
          <w:bCs w:val="false"/>
          <w:i w:val="false"/>
          <w:iCs w:val="false"/>
          <w:color w:val="1A1A1A"/>
          <w:sz w:val="22"/>
          <w:szCs w:val="22"/>
        </w:rPr>
        <w:t xml:space="preserve">Minutes of the 30 January 2026 Board meeting confirmed.</w:t>
      </w:r>
    </w:p>
    <w:p>
      <w:pPr>
        <w:pStyle w:val="Heading2"/>
        <w:spacing w:after="160" w:before="300"/>
      </w:pPr>
      <w:r>
        <w:rPr>
          <w:rFonts w:ascii="Georgia" w:cs="Georgia" w:eastAsia="Georgia" w:hAnsi="Georgia"/>
          <w:b/>
          <w:bCs/>
          <w:color w:val="1A1A1A"/>
          <w:sz w:val="25"/>
          <w:szCs w:val="25"/>
        </w:rPr>
        <w:t xml:space="preserve">4. CEO's report and Q1 close</w:t>
      </w:r>
    </w:p>
    <w:p>
      <w:pPr>
        <w:spacing w:after="140" w:before="0" w:line="320"/>
        <w:jc w:val="left"/>
      </w:pPr>
      <w:r>
        <w:rPr>
          <w:rFonts w:ascii="Calibri" w:cs="Calibri" w:eastAsia="Calibri" w:hAnsi="Calibri"/>
          <w:b w:val="false"/>
          <w:bCs w:val="false"/>
          <w:i w:val="false"/>
          <w:iCs w:val="false"/>
          <w:color w:val="1A1A1A"/>
          <w:sz w:val="22"/>
          <w:szCs w:val="22"/>
        </w:rPr>
        <w:t xml:space="preserve">The Founder &amp; CEO presented the Q1 close. Revenue ahead of plan, EBITDA at 13.6%, on-time delivery improved to 87% in March.</w:t>
      </w:r>
    </w:p>
    <w:p>
      <w:pPr>
        <w:spacing w:after="140" w:before="0" w:line="320"/>
        <w:jc w:val="left"/>
      </w:pPr>
      <w:r>
        <w:rPr>
          <w:rFonts w:ascii="Calibri" w:cs="Calibri" w:eastAsia="Calibri" w:hAnsi="Calibri"/>
          <w:b w:val="false"/>
          <w:bCs w:val="false"/>
          <w:i w:val="false"/>
          <w:iCs w:val="false"/>
          <w:color w:val="1A1A1A"/>
          <w:sz w:val="22"/>
          <w:szCs w:val="22"/>
        </w:rPr>
        <w:t xml:space="preserve">The CEO noted explicitly that the Nominations Committee paper presented at this meeting would address the management succession question and that he welcomed the Committee's work.</w:t>
      </w:r>
    </w:p>
    <w:p>
      <w:pPr>
        <w:pStyle w:val="Heading2"/>
        <w:spacing w:after="160" w:before="300"/>
      </w:pPr>
      <w:r>
        <w:rPr>
          <w:rFonts w:ascii="Georgia" w:cs="Georgia" w:eastAsia="Georgia" w:hAnsi="Georgia"/>
          <w:b/>
          <w:bCs/>
          <w:color w:val="1A1A1A"/>
          <w:sz w:val="25"/>
          <w:szCs w:val="25"/>
        </w:rPr>
        <w:t xml:space="preserve">5. Cross-border tax disputes</w:t>
      </w:r>
    </w:p>
    <w:p>
      <w:pPr>
        <w:spacing w:after="140" w:before="0" w:line="320"/>
        <w:jc w:val="left"/>
      </w:pPr>
      <w:r>
        <w:rPr>
          <w:rFonts w:ascii="Calibri" w:cs="Calibri" w:eastAsia="Calibri" w:hAnsi="Calibri"/>
          <w:b w:val="false"/>
          <w:bCs w:val="false"/>
          <w:i w:val="false"/>
          <w:iCs w:val="false"/>
          <w:color w:val="1A1A1A"/>
          <w:sz w:val="22"/>
          <w:szCs w:val="22"/>
        </w:rPr>
        <w:t xml:space="preserve">The Tax Director presented the Q1 status: 8 disputes, USD 8.0m cumulative.</w:t>
      </w:r>
    </w:p>
    <w:p>
      <w:pPr>
        <w:spacing w:after="140" w:before="0" w:line="320"/>
        <w:jc w:val="left"/>
      </w:pPr>
      <w:r>
        <w:rPr>
          <w:rFonts w:ascii="Calibri" w:cs="Calibri" w:eastAsia="Calibri" w:hAnsi="Calibri"/>
          <w:b w:val="false"/>
          <w:bCs w:val="false"/>
          <w:i w:val="false"/>
          <w:iCs w:val="false"/>
          <w:color w:val="1A1A1A"/>
          <w:sz w:val="22"/>
          <w:szCs w:val="22"/>
        </w:rPr>
        <w:t xml:space="preserve">Linda Mwende (Audit Committee Chair) confirmed Audit Committee endorsement of the EY resolution programme and full IPO prospectus disclosure of all 8 disputes.</w:t>
      </w:r>
    </w:p>
    <w:p>
      <w:pPr>
        <w:spacing w:after="140" w:before="0" w:line="320"/>
        <w:jc w:val="left"/>
      </w:pPr>
      <w:r>
        <w:rPr>
          <w:rFonts w:ascii="Calibri" w:cs="Calibri" w:eastAsia="Calibri" w:hAnsi="Calibri"/>
          <w:b w:val="false"/>
          <w:bCs w:val="false"/>
          <w:i w:val="false"/>
          <w:iCs w:val="false"/>
          <w:color w:val="1A1A1A"/>
          <w:sz w:val="22"/>
          <w:szCs w:val="22"/>
        </w:rPr>
        <w:t xml:space="preserve">Bram Mwalo added that the Audit Committee had specifically requested the prospectus narrative address dispute origination rate as well as resolution rate, framed as structural feature of regional tax environment.</w:t>
      </w:r>
    </w:p>
    <w:p>
      <w:pPr>
        <w:spacing w:after="140" w:before="0" w:line="320"/>
        <w:jc w:val="left"/>
      </w:pPr>
      <w:r>
        <w:rPr>
          <w:rFonts w:ascii="Calibri" w:cs="Calibri" w:eastAsia="Calibri" w:hAnsi="Calibri"/>
          <w:b w:val="false"/>
          <w:bCs w:val="false"/>
          <w:i w:val="false"/>
          <w:iCs w:val="false"/>
          <w:color w:val="1A1A1A"/>
          <w:sz w:val="22"/>
          <w:szCs w:val="22"/>
        </w:rPr>
        <w:t xml:space="preserve">William Otieno asked about the financial implications if the contested USD 4.0m moves to settlement at par. The CFO indicated this was provisioned for; no further P&amp;L impact would result.</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approves the EY-led cross-border tax dispute resolution programme and the Q3 resolution target. Full IPO prospectus disclosure of all 8 disputes endorsed. Carried unanimously.</w:t>
      </w:r>
    </w:p>
    <w:p>
      <w:pPr>
        <w:pStyle w:val="Heading2"/>
        <w:spacing w:after="160" w:before="300"/>
      </w:pPr>
      <w:r>
        <w:rPr>
          <w:rFonts w:ascii="Georgia" w:cs="Georgia" w:eastAsia="Georgia" w:hAnsi="Georgia"/>
          <w:b/>
          <w:bCs/>
          <w:color w:val="1A1A1A"/>
          <w:sz w:val="25"/>
          <w:szCs w:val="25"/>
        </w:rPr>
        <w:t xml:space="preserve">6. Nominations Committee succession progress paper</w:t>
      </w:r>
    </w:p>
    <w:p>
      <w:pPr>
        <w:spacing w:after="140" w:before="0" w:line="320"/>
        <w:jc w:val="left"/>
      </w:pPr>
      <w:r>
        <w:rPr>
          <w:rFonts w:ascii="Calibri" w:cs="Calibri" w:eastAsia="Calibri" w:hAnsi="Calibri"/>
          <w:b w:val="false"/>
          <w:bCs w:val="false"/>
          <w:i w:val="false"/>
          <w:iCs w:val="false"/>
          <w:color w:val="1A1A1A"/>
          <w:sz w:val="22"/>
          <w:szCs w:val="22"/>
        </w:rPr>
        <w:t xml:space="preserve">Bram Mwalo (Nominations Committee Chair) presented the Committee's first formal succession progress paper. The Committee recommends path C: combined internal development and external evaluation over 12-18 months.</w:t>
      </w:r>
    </w:p>
    <w:p>
      <w:pPr>
        <w:spacing w:after="140" w:before="0" w:line="320"/>
        <w:jc w:val="left"/>
      </w:pPr>
      <w:r>
        <w:rPr>
          <w:rFonts w:ascii="Calibri" w:cs="Calibri" w:eastAsia="Calibri" w:hAnsi="Calibri"/>
          <w:b w:val="false"/>
          <w:bCs w:val="false"/>
          <w:i w:val="false"/>
          <w:iCs w:val="false"/>
          <w:color w:val="1A1A1A"/>
          <w:sz w:val="22"/>
          <w:szCs w:val="22"/>
        </w:rPr>
        <w:t xml:space="preserve">The Founder &amp; CEO stated his explicit support for the Committee's process and its recommendations. He confirmed his commitment to the Executive Chair to Non-Executive Chair transition framework being developed by the Committee.</w:t>
      </w:r>
    </w:p>
    <w:p>
      <w:pPr>
        <w:spacing w:after="140" w:before="0" w:line="320"/>
        <w:jc w:val="left"/>
      </w:pPr>
      <w:r>
        <w:rPr>
          <w:rFonts w:ascii="Calibri" w:cs="Calibri" w:eastAsia="Calibri" w:hAnsi="Calibri"/>
          <w:b w:val="false"/>
          <w:bCs w:val="false"/>
          <w:i w:val="false"/>
          <w:iCs w:val="false"/>
          <w:color w:val="1A1A1A"/>
          <w:sz w:val="22"/>
          <w:szCs w:val="22"/>
        </w:rPr>
        <w:t xml:space="preserve">Dr Helen Kimathi (Board Chair) thanked the Nominations Committee for the substantive work and noted the Committee's structured approach to a difficult question. She invited Board comment.</w:t>
      </w:r>
    </w:p>
    <w:p>
      <w:pPr>
        <w:spacing w:after="140" w:before="0" w:line="320"/>
        <w:jc w:val="left"/>
      </w:pPr>
      <w:r>
        <w:rPr>
          <w:rFonts w:ascii="Calibri" w:cs="Calibri" w:eastAsia="Calibri" w:hAnsi="Calibri"/>
          <w:b w:val="false"/>
          <w:bCs w:val="false"/>
          <w:i w:val="false"/>
          <w:iCs w:val="false"/>
          <w:color w:val="1A1A1A"/>
          <w:sz w:val="22"/>
          <w:szCs w:val="22"/>
        </w:rPr>
        <w:t xml:space="preserve">William Otieno asked about the founder's involvement in the external candidate evaluation. Bram Mwalo indicated the founder would be informed of the long-list and short-list but would not participate in the evaluation directly; this was structurally important to ensure independence of the Committee's assessment.</w:t>
      </w:r>
    </w:p>
    <w:p>
      <w:pPr>
        <w:spacing w:after="140" w:before="0" w:line="320"/>
        <w:jc w:val="left"/>
      </w:pPr>
      <w:r>
        <w:rPr>
          <w:rFonts w:ascii="Calibri" w:cs="Calibri" w:eastAsia="Calibri" w:hAnsi="Calibri"/>
          <w:b w:val="false"/>
          <w:bCs w:val="false"/>
          <w:i w:val="false"/>
          <w:iCs w:val="false"/>
          <w:color w:val="1A1A1A"/>
          <w:sz w:val="22"/>
          <w:szCs w:val="22"/>
        </w:rPr>
        <w:t xml:space="preserve">Patrick Owuor asked about communication with internal candidates (Janet Achieng and Mary Wanjiku). Bram Mwalo confirmed both candidates had been informed of the process and the Committee's recommendation framework. Both had been told explicitly that the development programme did not constitute a commitment to appointment.</w:t>
      </w:r>
    </w:p>
    <w:p>
      <w:pPr>
        <w:spacing w:after="140" w:before="0" w:line="320"/>
        <w:jc w:val="left"/>
      </w:pPr>
      <w:r>
        <w:rPr>
          <w:rFonts w:ascii="Calibri" w:cs="Calibri" w:eastAsia="Calibri" w:hAnsi="Calibri"/>
          <w:b w:val="false"/>
          <w:bCs w:val="false"/>
          <w:i w:val="false"/>
          <w:iCs w:val="false"/>
          <w:color w:val="1A1A1A"/>
          <w:sz w:val="22"/>
          <w:szCs w:val="22"/>
        </w:rPr>
        <w:t xml:space="preserve">Christine Ngugi (Nominations Committee Member) added that the Committee's view was that the path C recommendation gave the company optionality without creating premature commitment, which was the right posture given IPO timing.</w:t>
      </w:r>
    </w:p>
    <w:p>
      <w:pPr>
        <w:spacing w:after="140" w:before="0" w:line="320"/>
        <w:jc w:val="left"/>
      </w:pPr>
      <w:r>
        <w:rPr>
          <w:rFonts w:ascii="Calibri" w:cs="Calibri" w:eastAsia="Calibri" w:hAnsi="Calibri"/>
          <w:b w:val="false"/>
          <w:bCs w:val="false"/>
          <w:i w:val="false"/>
          <w:iCs w:val="false"/>
          <w:color w:val="1A1A1A"/>
          <w:sz w:val="22"/>
          <w:szCs w:val="22"/>
        </w:rPr>
        <w:t xml:space="preserve">Margaret Achola asked whether the IPO investor narrative on succession had been considered. Mary Wanjiku confirmed it had; the narrative would emphasise the founder's continued role through Executive Chair and the structured succession process.</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receives the Nominations Committee's first formal succession progress paper. The Board endorses the recommended path C and the Q2-Q3 work programme. The Board acknowledges the founder's clear signalling of intent and the Committee's structured response. Carried unanimously.</w:t>
      </w:r>
    </w:p>
    <w:p>
      <w:pPr>
        <w:pStyle w:val="Heading2"/>
        <w:spacing w:after="160" w:before="300"/>
      </w:pPr>
      <w:r>
        <w:rPr>
          <w:rFonts w:ascii="Georgia" w:cs="Georgia" w:eastAsia="Georgia" w:hAnsi="Georgia"/>
          <w:b/>
          <w:bCs/>
          <w:color w:val="1A1A1A"/>
          <w:sz w:val="25"/>
          <w:szCs w:val="25"/>
        </w:rPr>
        <w:t xml:space="preserve">7. IPO readiness update</w:t>
      </w:r>
    </w:p>
    <w:p>
      <w:pPr>
        <w:spacing w:after="140" w:before="0" w:line="320"/>
        <w:jc w:val="left"/>
      </w:pPr>
      <w:r>
        <w:rPr>
          <w:rFonts w:ascii="Calibri" w:cs="Calibri" w:eastAsia="Calibri" w:hAnsi="Calibri"/>
          <w:b w:val="false"/>
          <w:bCs w:val="false"/>
          <w:i w:val="false"/>
          <w:iCs w:val="false"/>
          <w:color w:val="1A1A1A"/>
          <w:sz w:val="22"/>
          <w:szCs w:val="22"/>
        </w:rPr>
        <w:t xml:space="preserve">The CFO presented IPO readiness milestone progress. H2 2026 listing target remains achievable. Q1 milestones largely complete; Q2 work programme covers cross-border tax dispute resolution progress, prospectus drafting initiation, anchor investor formal conversations.</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notes the IPO readiness milestone progress.</w:t>
      </w:r>
    </w:p>
    <w:p>
      <w:pPr>
        <w:pStyle w:val="Heading2"/>
        <w:spacing w:after="160" w:before="300"/>
      </w:pPr>
      <w:r>
        <w:rPr>
          <w:rFonts w:ascii="Georgia" w:cs="Georgia" w:eastAsia="Georgia" w:hAnsi="Georgia"/>
          <w:b/>
          <w:bCs/>
          <w:color w:val="1A1A1A"/>
          <w:sz w:val="25"/>
          <w:szCs w:val="25"/>
        </w:rPr>
        <w:t xml:space="preserve">8. Cyber and IT risk</w:t>
      </w:r>
    </w:p>
    <w:p>
      <w:pPr>
        <w:spacing w:after="140" w:before="0" w:line="320"/>
        <w:jc w:val="left"/>
      </w:pPr>
      <w:r>
        <w:rPr>
          <w:rFonts w:ascii="Calibri" w:cs="Calibri" w:eastAsia="Calibri" w:hAnsi="Calibri"/>
          <w:b w:val="false"/>
          <w:bCs w:val="false"/>
          <w:i w:val="false"/>
          <w:iCs w:val="false"/>
          <w:color w:val="1A1A1A"/>
          <w:sz w:val="22"/>
          <w:szCs w:val="22"/>
        </w:rPr>
        <w:t xml:space="preserve">The CEO summarised the Q1 cyber trajectory and the Q2 Board paper development on cyber tooling investment.</w:t>
      </w:r>
    </w:p>
    <w:p>
      <w:pPr>
        <w:spacing w:after="140" w:before="0" w:line="320"/>
        <w:jc w:val="left"/>
      </w:pPr>
      <w:r>
        <w:rPr>
          <w:rFonts w:ascii="Calibri" w:cs="Calibri" w:eastAsia="Calibri" w:hAnsi="Calibri"/>
          <w:b w:val="false"/>
          <w:bCs w:val="false"/>
          <w:i w:val="false"/>
          <w:iCs w:val="false"/>
          <w:color w:val="1A1A1A"/>
          <w:sz w:val="22"/>
          <w:szCs w:val="22"/>
        </w:rPr>
        <w:t xml:space="preserve">Bram Mwalo added context, noting the cyber trajectory at Sendwa was consistent with patterns visible at peer organisations across other sectors. The Q2 Board paper should consider not just the tooling investment but the cyber risk appetite framework — Sendwa does not currently have a formal cyber risk appetite statement, and this is a gap that IPO investors may notice.</w:t>
      </w:r>
    </w:p>
    <w:p>
      <w:pPr>
        <w:pStyle w:val="Heading3"/>
        <w:spacing w:after="120" w:before="220"/>
      </w:pPr>
      <w:r>
        <w:rPr>
          <w:rFonts w:ascii="Calibri" w:cs="Calibri" w:eastAsia="Calibri" w:hAnsi="Calibri"/>
          <w:b/>
          <w:bCs/>
          <w:color w:val="1A1A1A"/>
          <w:sz w:val="22"/>
          <w:szCs w:val="22"/>
        </w:rPr>
        <w:t xml:space="preserve">Resolution</w:t>
      </w:r>
    </w:p>
    <w:p>
      <w:pPr>
        <w:spacing w:after="140" w:before="0" w:line="320"/>
        <w:jc w:val="left"/>
      </w:pPr>
      <w:r>
        <w:rPr>
          <w:rFonts w:ascii="Calibri" w:cs="Calibri" w:eastAsia="Calibri" w:hAnsi="Calibri"/>
          <w:b w:val="false"/>
          <w:bCs w:val="false"/>
          <w:i w:val="false"/>
          <w:iCs w:val="false"/>
          <w:color w:val="1A1A1A"/>
          <w:sz w:val="22"/>
          <w:szCs w:val="22"/>
        </w:rPr>
        <w:t xml:space="preserve">The Board notes the Q1 cyber trajectory and confirms the Q2 Board paper will include cyber risk appetite framework alongside the tooling investment proposal.</w:t>
      </w:r>
    </w:p>
    <w:p>
      <w:pPr>
        <w:pStyle w:val="Heading2"/>
        <w:spacing w:after="160" w:before="300"/>
      </w:pPr>
      <w:r>
        <w:rPr>
          <w:rFonts w:ascii="Georgia" w:cs="Georgia" w:eastAsia="Georgia" w:hAnsi="Georgia"/>
          <w:b/>
          <w:bCs/>
          <w:color w:val="1A1A1A"/>
          <w:sz w:val="25"/>
          <w:szCs w:val="25"/>
        </w:rPr>
        <w:t xml:space="preserve">9. Audit Committee update</w:t>
      </w:r>
    </w:p>
    <w:p>
      <w:pPr>
        <w:spacing w:after="140" w:before="0" w:line="320"/>
        <w:jc w:val="left"/>
      </w:pPr>
      <w:r>
        <w:rPr>
          <w:rFonts w:ascii="Calibri" w:cs="Calibri" w:eastAsia="Calibri" w:hAnsi="Calibri"/>
          <w:b w:val="false"/>
          <w:bCs w:val="false"/>
          <w:i w:val="false"/>
          <w:iCs w:val="false"/>
          <w:color w:val="1A1A1A"/>
          <w:sz w:val="22"/>
          <w:szCs w:val="22"/>
        </w:rPr>
        <w:t xml:space="preserve">Linda Mwende presented the Q1 Audit Committee summary. PwC engagement on track; financial reporting refresh complete; Internal Audit programme on schedule.</w:t>
      </w:r>
    </w:p>
    <w:p>
      <w:pPr>
        <w:pStyle w:val="Heading2"/>
        <w:spacing w:after="160" w:before="300"/>
      </w:pPr>
      <w:r>
        <w:rPr>
          <w:rFonts w:ascii="Georgia" w:cs="Georgia" w:eastAsia="Georgia" w:hAnsi="Georgia"/>
          <w:b/>
          <w:bCs/>
          <w:color w:val="1A1A1A"/>
          <w:sz w:val="25"/>
          <w:szCs w:val="25"/>
        </w:rPr>
        <w:t xml:space="preserve">10. Tanzania transport incident</w:t>
      </w:r>
    </w:p>
    <w:p>
      <w:pPr>
        <w:spacing w:after="140" w:before="0" w:line="320"/>
        <w:jc w:val="left"/>
      </w:pPr>
      <w:r>
        <w:rPr>
          <w:rFonts w:ascii="Calibri" w:cs="Calibri" w:eastAsia="Calibri" w:hAnsi="Calibri"/>
          <w:b w:val="false"/>
          <w:bCs w:val="false"/>
          <w:i w:val="false"/>
          <w:iCs w:val="false"/>
          <w:color w:val="1A1A1A"/>
          <w:sz w:val="22"/>
          <w:szCs w:val="22"/>
        </w:rPr>
        <w:t xml:space="preserve">The COO summarised the operational response and the route resilience assessment in commission. Insurance recovery expected Q2.</w:t>
      </w:r>
    </w:p>
    <w:p>
      <w:pPr>
        <w:pStyle w:val="Heading2"/>
        <w:spacing w:after="160" w:before="300"/>
      </w:pPr>
      <w:r>
        <w:rPr>
          <w:rFonts w:ascii="Georgia" w:cs="Georgia" w:eastAsia="Georgia" w:hAnsi="Georgia"/>
          <w:b/>
          <w:bCs/>
          <w:color w:val="1A1A1A"/>
          <w:sz w:val="25"/>
          <w:szCs w:val="25"/>
        </w:rPr>
        <w:t xml:space="preserve">11. Other matters</w:t>
      </w:r>
    </w:p>
    <w:p>
      <w:pPr>
        <w:spacing w:after="140" w:before="0" w:line="320"/>
        <w:jc w:val="left"/>
      </w:pPr>
      <w:r>
        <w:rPr>
          <w:rFonts w:ascii="Calibri" w:cs="Calibri" w:eastAsia="Calibri" w:hAnsi="Calibri"/>
          <w:b w:val="false"/>
          <w:bCs w:val="false"/>
          <w:i w:val="false"/>
          <w:iCs w:val="false"/>
          <w:color w:val="1A1A1A"/>
          <w:sz w:val="22"/>
          <w:szCs w:val="22"/>
        </w:rPr>
        <w:t xml:space="preserve">None tabled.</w:t>
      </w:r>
    </w:p>
    <w:p>
      <w:pPr>
        <w:pStyle w:val="Heading2"/>
        <w:spacing w:after="160" w:before="300"/>
      </w:pPr>
      <w:r>
        <w:rPr>
          <w:rFonts w:ascii="Georgia" w:cs="Georgia" w:eastAsia="Georgia" w:hAnsi="Georgia"/>
          <w:b/>
          <w:bCs/>
          <w:color w:val="1A1A1A"/>
          <w:sz w:val="25"/>
          <w:szCs w:val="25"/>
        </w:rPr>
        <w:t xml:space="preserve">12. Date of next meeting</w:t>
      </w:r>
    </w:p>
    <w:p>
      <w:pPr>
        <w:spacing w:after="140" w:before="0" w:line="320"/>
        <w:jc w:val="left"/>
      </w:pPr>
      <w:r>
        <w:rPr>
          <w:rFonts w:ascii="Calibri" w:cs="Calibri" w:eastAsia="Calibri" w:hAnsi="Calibri"/>
          <w:b w:val="false"/>
          <w:bCs w:val="false"/>
          <w:i w:val="false"/>
          <w:iCs w:val="false"/>
          <w:color w:val="1A1A1A"/>
          <w:sz w:val="22"/>
          <w:szCs w:val="22"/>
        </w:rPr>
        <w:t xml:space="preserve">Next Board meeting: Friday 27 June 2026 (special focus on cyber tooling investment and IPO prospectus drafting initiation). Subsequent quarterly Board meeting: Friday 28 August 2026.</w:t>
      </w:r>
    </w:p>
    <w:p>
      <w:pPr>
        <w:pStyle w:val="Heading2"/>
        <w:spacing w:after="160" w:before="300"/>
      </w:pPr>
      <w:r>
        <w:rPr>
          <w:rFonts w:ascii="Georgia" w:cs="Georgia" w:eastAsia="Georgia" w:hAnsi="Georgia"/>
          <w:b/>
          <w:bCs/>
          <w:color w:val="1A1A1A"/>
          <w:sz w:val="25"/>
          <w:szCs w:val="25"/>
        </w:rPr>
        <w:t xml:space="preserve">13. In camera session</w:t>
      </w:r>
    </w:p>
    <w:p>
      <w:pPr>
        <w:spacing w:after="140" w:before="0" w:line="320"/>
        <w:jc w:val="left"/>
      </w:pPr>
      <w:r>
        <w:rPr>
          <w:rFonts w:ascii="Calibri" w:cs="Calibri" w:eastAsia="Calibri" w:hAnsi="Calibri"/>
          <w:b w:val="false"/>
          <w:bCs w:val="false"/>
          <w:i w:val="false"/>
          <w:iCs w:val="false"/>
          <w:color w:val="1A1A1A"/>
          <w:sz w:val="22"/>
          <w:szCs w:val="22"/>
        </w:rPr>
        <w:t xml:space="preserve">The Board moved to in camera session at 15:00. The Founder &amp; CEO recused himself for the session covering succession process discussion. In camera minutes recorded separately.</w:t>
      </w:r>
    </w:p>
    <w:p>
      <w:pPr>
        <w:pStyle w:val="Heading2"/>
        <w:spacing w:after="160" w:before="300"/>
      </w:pPr>
      <w:r>
        <w:rPr>
          <w:rFonts w:ascii="Georgia" w:cs="Georgia" w:eastAsia="Georgia" w:hAnsi="Georgia"/>
          <w:b/>
          <w:bCs/>
          <w:color w:val="1A1A1A"/>
          <w:sz w:val="25"/>
          <w:szCs w:val="25"/>
        </w:rPr>
        <w:t xml:space="preserve">14. Closing</w:t>
      </w:r>
    </w:p>
    <w:p>
      <w:pPr>
        <w:spacing w:after="140" w:before="0" w:line="320"/>
        <w:jc w:val="left"/>
      </w:pPr>
      <w:r>
        <w:rPr>
          <w:rFonts w:ascii="Calibri" w:cs="Calibri" w:eastAsia="Calibri" w:hAnsi="Calibri"/>
          <w:b w:val="false"/>
          <w:bCs w:val="false"/>
          <w:i w:val="false"/>
          <w:iCs w:val="false"/>
          <w:color w:val="1A1A1A"/>
          <w:sz w:val="22"/>
          <w:szCs w:val="22"/>
        </w:rPr>
        <w:t xml:space="preserve">The meeting closed at 16:30. The Board Chair thanked all attendees and noted her appreciation of the Nominations Committee's work.</w:t>
      </w:r>
    </w:p>
    <w:p>
      <w:pPr>
        <w:spacing w:after="280"/>
      </w:pPr>
      <w:r>
        <w:t xml:space="preserve"/>
      </w:r>
    </w:p>
    <w:p>
      <w:pPr>
        <w:spacing w:after="140" w:before="0" w:line="320"/>
        <w:jc w:val="left"/>
      </w:pPr>
      <w:r>
        <w:rPr>
          <w:rFonts w:ascii="Calibri" w:cs="Calibri" w:eastAsia="Calibri" w:hAnsi="Calibri"/>
          <w:b w:val="false"/>
          <w:bCs w:val="false"/>
          <w:i/>
          <w:iCs/>
          <w:color w:val="1A1A1A"/>
          <w:sz w:val="22"/>
          <w:szCs w:val="22"/>
        </w:rPr>
        <w:t xml:space="preserve">Confirmed as a true record:</w:t>
      </w:r>
    </w:p>
    <w:p>
      <w:pPr>
        <w:spacing w:after="160"/>
      </w:pPr>
      <w:r>
        <w:t xml:space="preserve"/>
      </w:r>
    </w:p>
    <w:p>
      <w:pPr>
        <w:spacing w:after="140" w:before="0" w:line="320"/>
        <w:jc w:val="left"/>
      </w:pPr>
      <w:r>
        <w:rPr>
          <w:rFonts w:ascii="Calibri" w:cs="Calibri" w:eastAsia="Calibri" w:hAnsi="Calibri"/>
          <w:b w:val="false"/>
          <w:bCs w:val="false"/>
          <w:i w:val="false"/>
          <w:iCs w:val="false"/>
          <w:color w:val="1A1A1A"/>
          <w:sz w:val="22"/>
          <w:szCs w:val="22"/>
        </w:rPr>
        <w:t xml:space="preserve">________________________________   _____________</w:t>
      </w:r>
    </w:p>
    <w:p>
      <w:pPr>
        <w:spacing w:after="140" w:before="0" w:line="320"/>
        <w:jc w:val="left"/>
      </w:pPr>
      <w:r>
        <w:rPr>
          <w:rFonts w:ascii="Calibri" w:cs="Calibri" w:eastAsia="Calibri" w:hAnsi="Calibri"/>
          <w:b w:val="false"/>
          <w:bCs w:val="false"/>
          <w:i w:val="false"/>
          <w:iCs w:val="false"/>
          <w:color w:val="1A1A1A"/>
          <w:sz w:val="22"/>
          <w:szCs w:val="22"/>
        </w:rPr>
        <w:t xml:space="preserve">Dr Helen Kimathi, Board Chair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3C1" w:sz="4" w:space="4"/>
      </w:pBdr>
      <w:jc w:val="center"/>
    </w:pPr>
    <w:r>
      <w:rPr>
        <w:rFonts w:ascii="Calibri" w:cs="Calibri" w:eastAsia="Calibri" w:hAnsi="Calibri"/>
        <w:color w:val="6F6A5D"/>
        <w:sz w:val="16"/>
        <w:szCs w:val="16"/>
      </w:rPr>
      <w:t xml:space="preserve">Page </w:t>
    </w:r>
    <w:r>
      <w:rPr>
        <w:rFonts w:ascii="Calibri" w:cs="Calibri" w:eastAsia="Calibri" w:hAnsi="Calibri"/>
        <w:color w:val="6F6A5D"/>
        <w:sz w:val="16"/>
        <w:szCs w:val="16"/>
      </w:rPr>
      <w:fldChar w:fldCharType="begin"/>
      <w:instrText xml:space="preserve">PAGE</w:instrText>
      <w:fldChar w:fldCharType="separate"/>
      <w:fldChar w:fldCharType="end"/>
    </w:r>
    <w:r>
      <w:rPr>
        <w:rFonts w:ascii="Calibri" w:cs="Calibri" w:eastAsia="Calibri" w:hAnsi="Calibri"/>
        <w:color w:val="6F6A5D"/>
        <w:sz w:val="16"/>
        <w:szCs w:val="16"/>
      </w:rPr>
      <w:t xml:space="preserve"> / </w:t>
    </w:r>
    <w:r>
      <w:rPr>
        <w:rFonts w:ascii="Calibri" w:cs="Calibri" w:eastAsia="Calibri" w:hAnsi="Calibri"/>
        <w:color w:val="6F6A5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3C1" w:sz="4" w:space="4"/>
      </w:pBdr>
      <w:jc w:val="left"/>
    </w:pPr>
    <w:r>
      <w:rPr>
        <w:rFonts w:ascii="Georgia" w:cs="Georgia" w:eastAsia="Georgia" w:hAnsi="Georgia"/>
        <w:b/>
        <w:bCs/>
        <w:color w:val="1A1A1A"/>
        <w:sz w:val="18"/>
        <w:szCs w:val="18"/>
      </w:rPr>
      <w:t xml:space="preserve">AKKI Test Data · Afya + Sendwa Q1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Georgia" w:cs="Georgia" w:eastAsia="Georgia" w:hAnsi="Georgia"/>
      <w:b/>
      <w:bCs/>
      <w:color w:val="1A1A1A"/>
      <w:sz w:val="36"/>
      <w:szCs w:val="36"/>
    </w:rPr>
  </w:style>
  <w:style w:type="paragraph" w:styleId="Heading2">
    <w:name w:val="Heading 2"/>
    <w:basedOn w:val="Normal"/>
    <w:next w:val="Normal"/>
    <w:qFormat/>
    <w:pPr>
      <w:spacing w:after="160" w:before="30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Test Data — Afya + Sendwa Q1 2026</dc:title>
  <dc:creator>Syni.ai</dc:creator>
  <dc:description>Turn 2 - Afya + Sendwa Q1 2026 governance documents</dc:description>
  <cp:lastModifiedBy>Un-named</cp:lastModifiedBy>
  <cp:revision>1</cp:revision>
  <dcterms:created xsi:type="dcterms:W3CDTF">2026-05-01T17:18:02.392Z</dcterms:created>
  <dcterms:modified xsi:type="dcterms:W3CDTF">2026-05-01T17:18:02.393Z</dcterms:modified>
</cp:coreProperties>
</file>

<file path=docProps/custom.xml><?xml version="1.0" encoding="utf-8"?>
<Properties xmlns="http://schemas.openxmlformats.org/officeDocument/2006/custom-properties" xmlns:vt="http://schemas.openxmlformats.org/officeDocument/2006/docPropsVTypes"/>
</file>