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8B2E2B"/>
          <w:sz w:val="16"/>
          <w:szCs w:val="16"/>
        </w:rPr>
        <w:t xml:space="preserve">T U R N   3   ·   S Y N I . A I   ·   Q 1   2 0 2 6</w:t>
      </w:r>
    </w:p>
    <w:p>
      <w:pPr>
        <w:pBdr>
          <w:bottom w:val="single" w:color="8B2E2B" w:sz="6" w:space="10"/>
        </w:pBdr>
        <w:spacing w:after="360"/>
      </w:pPr>
      <w:r>
        <w:t xml:space="preserve"/>
      </w:r>
    </w:p>
    <w:p>
      <w:pPr>
        <w:spacing w:after="100"/>
      </w:pPr>
      <w:r>
        <w:rPr>
          <w:rFonts w:ascii="Georgia" w:cs="Georgia" w:eastAsia="Georgia" w:hAnsi="Georgia"/>
          <w:b/>
          <w:bCs/>
          <w:color w:val="1A1A1A"/>
          <w:sz w:val="56"/>
          <w:szCs w:val="56"/>
        </w:rPr>
        <w:t xml:space="preserve">Q1 2026 Executive Cycle</w:t>
      </w:r>
    </w:p>
    <w:p>
      <w:pPr>
        <w:spacing w:after="600"/>
      </w:pPr>
      <w:r>
        <w:rPr>
          <w:rFonts w:ascii="Georgia" w:cs="Georgia" w:eastAsia="Georgia" w:hAnsi="Georgia"/>
          <w:i/>
          <w:iCs/>
          <w:color w:val="1A1A1A"/>
          <w:sz w:val="26"/>
          <w:szCs w:val="26"/>
        </w:rPr>
        <w:t xml:space="preserve">Three monthly consolidated reports + Q1 performance review</w:t>
      </w:r>
    </w:p>
    <w:p>
      <w:pPr>
        <w:spacing w:after="280" w:before="0" w:line="320"/>
        <w:jc w:val="left"/>
      </w:pPr>
      <w:r>
        <w:rPr>
          <w:rFonts w:ascii="Calibri" w:cs="Calibri" w:eastAsia="Calibri" w:hAnsi="Calibri"/>
          <w:b w:val="false"/>
          <w:bCs w:val="false"/>
          <w:i w:val="false"/>
          <w:iCs w:val="false"/>
          <w:color w:val="2B2B2A"/>
          <w:sz w:val="22"/>
          <w:szCs w:val="22"/>
        </w:rPr>
        <w:t xml:space="preserve">Bram's executive cycle deliverables for Q1 2026 at Syni.ai. Each monthly consolidated report synthesises the seven reportee submissions for that month against operational data, in Bram's voice, intended for the Syni.ai investor update audience and as the founding documents for the May Q1 board update.</w:t>
      </w:r>
    </w:p>
    <w:p>
      <w:pPr>
        <w:spacing w:after="1200" w:before="0" w:line="320"/>
        <w:jc w:val="left"/>
      </w:pPr>
      <w:r>
        <w:rPr>
          <w:rFonts w:ascii="Calibri" w:cs="Calibri" w:eastAsia="Calibri" w:hAnsi="Calibri"/>
          <w:b w:val="false"/>
          <w:bCs w:val="false"/>
          <w:i w:val="false"/>
          <w:iCs w:val="false"/>
          <w:color w:val="2B2B2A"/>
          <w:sz w:val="22"/>
          <w:szCs w:val="22"/>
        </w:rPr>
        <w:t xml:space="preserve">These are the AKKI-assisted artefacts from Bram's monthly Reporting Cycle — drafted by AKKI from the materials, reviewed and edited by Bram, sent from his email. The Q1 performance review is the synthesis document Bram prepares when the cycle completes the quarter and the strategic decisions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Context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Syni.ai (Bram's Executive context — Founder &amp; CEO)</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Document count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Four (3 monthly consolidated + 1 quarterly performance review)</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Source materials</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84 reportee submissions (Tier 1 dataset) + operational data + Q1 signals</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Bram's role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Founder &amp; CEO; sole executive cycle owner</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Audience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Syni.ai investors (Series A); Bram's leadership team; quarterly to advisors</w:t>
            </w:r>
          </w:p>
        </w:tc>
      </w:tr>
    </w:tbl>
    <w:p>
      <w:r>
        <w:br w:type="page"/>
      </w:r>
    </w:p>
    <w:p>
      <w:pPr>
        <w:pStyle w:val="Heading1"/>
        <w:spacing w:after="220" w:before="440"/>
      </w:pPr>
      <w:r>
        <w:rPr>
          <w:rFonts w:ascii="Georgia" w:cs="Georgia" w:eastAsia="Georgia" w:hAnsi="Georgia"/>
          <w:b/>
          <w:bCs/>
          <w:color w:val="1A1A1A"/>
          <w:sz w:val="34"/>
          <w:szCs w:val="34"/>
        </w:rPr>
        <w:t xml:space="preserve">Document index</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1. </w:t>
      </w:r>
      <w:r>
        <w:rPr>
          <w:rFonts w:ascii="Calibri" w:cs="Calibri" w:eastAsia="Calibri" w:hAnsi="Calibri"/>
          <w:b w:val="false"/>
          <w:bCs w:val="false"/>
          <w:i w:val="false"/>
          <w:iCs w:val="false"/>
          <w:color w:val="1A1A1A"/>
          <w:sz w:val="22"/>
          <w:szCs w:val="22"/>
        </w:rPr>
        <w:t xml:space="preserve">Monthly Consolidated Management Report — January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2. </w:t>
      </w:r>
      <w:r>
        <w:rPr>
          <w:rFonts w:ascii="Calibri" w:cs="Calibri" w:eastAsia="Calibri" w:hAnsi="Calibri"/>
          <w:b w:val="false"/>
          <w:bCs w:val="false"/>
          <w:i w:val="false"/>
          <w:iCs w:val="false"/>
          <w:color w:val="1A1A1A"/>
          <w:sz w:val="22"/>
          <w:szCs w:val="22"/>
        </w:rPr>
        <w:t xml:space="preserve">Monthly Consolidated Management Report — February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3. </w:t>
      </w:r>
      <w:r>
        <w:rPr>
          <w:rFonts w:ascii="Calibri" w:cs="Calibri" w:eastAsia="Calibri" w:hAnsi="Calibri"/>
          <w:b w:val="false"/>
          <w:bCs w:val="false"/>
          <w:i w:val="false"/>
          <w:iCs w:val="false"/>
          <w:color w:val="1A1A1A"/>
          <w:sz w:val="22"/>
          <w:szCs w:val="22"/>
        </w:rPr>
        <w:t xml:space="preserve">Monthly Consolidated Management Report — March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4. </w:t>
      </w:r>
      <w:r>
        <w:rPr>
          <w:rFonts w:ascii="Calibri" w:cs="Calibri" w:eastAsia="Calibri" w:hAnsi="Calibri"/>
          <w:b w:val="false"/>
          <w:bCs w:val="false"/>
          <w:i w:val="false"/>
          <w:iCs w:val="false"/>
          <w:color w:val="1A1A1A"/>
          <w:sz w:val="22"/>
          <w:szCs w:val="22"/>
        </w:rPr>
        <w:t xml:space="preserve">Q1 2026 Performance Review (Strategic Synthesis)</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2B" w:sz="10" w:space="0"/>
              <w:left w:val="single" w:color="D9D3C1" w:sz="4" w:space="0"/>
              <w:bottom w:val="single" w:color="D9D3C1" w:sz="4" w:space="0"/>
              <w:right w:val="single" w:color="D9D3C1" w:sz="4" w:space="0"/>
            </w:tcBorders>
            <w:shd w:fill="F2EDE0" w:val="clear"/>
            <w:tcMar>
              <w:top w:type="dxa" w:w="200"/>
              <w:left w:type="dxa" w:w="260"/>
              <w:bottom w:type="dxa" w:w="200"/>
              <w:right w:type="dxa" w:w="260"/>
            </w:tcMar>
          </w:tcPr>
          <w:p>
            <w:pPr>
              <w:spacing w:after="100"/>
            </w:pPr>
            <w:r>
              <w:rPr>
                <w:rFonts w:ascii="Calibri" w:cs="Calibri" w:eastAsia="Calibri" w:hAnsi="Calibri"/>
                <w:b/>
                <w:bCs/>
                <w:color w:val="1A1A1A"/>
                <w:sz w:val="20"/>
                <w:szCs w:val="20"/>
              </w:rPr>
              <w:t xml:space="preserve">Note on AKKI's role in these documents</w:t>
            </w:r>
          </w:p>
          <w:p>
            <w:pPr>
              <w:spacing w:after="0" w:line="310"/>
            </w:pPr>
            <w:r>
              <w:rPr>
                <w:rFonts w:ascii="Calibri" w:cs="Calibri" w:eastAsia="Calibri" w:hAnsi="Calibri"/>
                <w:color w:val="1A1A1A"/>
                <w:sz w:val="21"/>
                <w:szCs w:val="21"/>
              </w:rPr>
              <w:t xml:space="preserve">Each of these four documents was drafted by AKKI from the cycle materials (reportee submissions, operational data, signals) and edited by Bram in the Workspace. The provenance gate held — sections marked AI-drafted-untouched cannot be sent. Bram's voice is consistent across the four documents; AKKI preserves it. The synthesis decisions — what to lead with, what to defer, what to flag — are Bram's. AKKI assembles; Bram decides. This is the Reporting Cycle and Report Composer working as designed.</w:t>
            </w:r>
          </w:p>
        </w:tc>
      </w:tr>
    </w:tbl>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1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Monthly Consolidated Management Report — January 2026</w:t>
      </w:r>
    </w:p>
    <w:p>
      <w:pPr>
        <w:spacing w:after="240"/>
      </w:pPr>
      <w:r>
        <w:rPr>
          <w:rFonts w:ascii="Georgia" w:cs="Georgia" w:eastAsia="Georgia" w:hAnsi="Georgia"/>
          <w:i/>
          <w:iCs/>
          <w:color w:val="2B2B2A"/>
          <w:sz w:val="26"/>
          <w:szCs w:val="26"/>
        </w:rPr>
        <w:t xml:space="preserve">Submitted by Bram Mwalo (Founder &amp; CEO) to investors and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January – 31 January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Drafted via</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AKKI Reporting Cycle from 7 reportee submissions</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Sent by</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from bram@syni.ai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sent</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 February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Audience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Series A investors (4); leadership team; advisors (2)</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From Bram</w:t>
      </w:r>
    </w:p>
    <w:p>
      <w:pPr>
        <w:spacing w:after="140" w:before="0" w:line="320"/>
        <w:jc w:val="left"/>
      </w:pPr>
      <w:r>
        <w:rPr>
          <w:rFonts w:ascii="Calibri" w:cs="Calibri" w:eastAsia="Calibri" w:hAnsi="Calibri"/>
          <w:b w:val="false"/>
          <w:bCs w:val="false"/>
          <w:i w:val="false"/>
          <w:iCs w:val="false"/>
          <w:color w:val="1A1A1A"/>
          <w:sz w:val="22"/>
          <w:szCs w:val="22"/>
        </w:rPr>
        <w:t xml:space="preserve">January was the month I'd been preparing for since November. The TechBridge churn flowed through the numbers exactly as the customer health signals had warned us, and the broader pattern — sales cycle elongation, NRR softening, runway compression — moved from "watch list" to "acting on." The team performed well under sustained pressure. This report covers the financial position, the strategic decisions in formation, and the work I want my investors to see ahead of the next round conversation.</w:t>
      </w:r>
    </w:p>
    <w:p>
      <w:pPr>
        <w:spacing w:after="140" w:before="0" w:line="320"/>
        <w:jc w:val="left"/>
      </w:pPr>
      <w:r>
        <w:rPr>
          <w:rFonts w:ascii="Calibri" w:cs="Calibri" w:eastAsia="Calibri" w:hAnsi="Calibri"/>
          <w:b w:val="false"/>
          <w:bCs w:val="false"/>
          <w:i w:val="false"/>
          <w:iCs w:val="false"/>
          <w:color w:val="1A1A1A"/>
          <w:sz w:val="22"/>
          <w:szCs w:val="22"/>
        </w:rPr>
        <w:t xml:space="preserve">Three things to lead with. First, the numbers are below plan but the trajectory has stabilised: the Q4 2025 deterioration did not extend further in January. Second, the strategic decision on the integrations-vs-AI fork has been made — we are committing to integrations as the moat. Third, runway has compressed to 17 months at current burn; we are beginning the work to position a Series B raise in Q4 2026 with materials lead time.</w:t>
      </w:r>
    </w:p>
    <w:p>
      <w:pPr>
        <w:pStyle w:val="Heading2"/>
        <w:spacing w:after="160" w:before="300"/>
      </w:pPr>
      <w:r>
        <w:rPr>
          <w:rFonts w:ascii="Georgia" w:cs="Georgia" w:eastAsia="Georgia" w:hAnsi="Georgia"/>
          <w:b/>
          <w:bCs/>
          <w:color w:val="1A1A1A"/>
          <w:sz w:val="25"/>
          <w:szCs w:val="25"/>
        </w:rPr>
        <w:t xml:space="preserve">Financial position —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2026</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Dec 2025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194,000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210,000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187,000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ARR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2.33M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2.52M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(7.6%)</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2.24M</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new ARR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85,000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120,000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(29.2%)</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92,000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Customers (count)</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(6.4%)</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NRR (trailing 12m)</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112%</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(700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108%</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burn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100,000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+15.0%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108,000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Runway (months)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18.4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Burn multiple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1.7x</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The miss to plan in January is concentrated in two areas. New customer acquisition was 9 logos versus plan of 11 — sales cycles continued to elongate (67 days average versus plan of 58). Net burn was elevated as engineering opex temporarily reduced (one senior departure created a brief opex saving) but the position is misleading; February will revert.</w:t>
      </w:r>
    </w:p>
    <w:p>
      <w:pPr>
        <w:pStyle w:val="Heading2"/>
        <w:spacing w:after="160" w:before="300"/>
      </w:pPr>
      <w:r>
        <w:rPr>
          <w:rFonts w:ascii="Georgia" w:cs="Georgia" w:eastAsia="Georgia" w:hAnsi="Georgia"/>
          <w:b/>
          <w:bCs/>
          <w:color w:val="1A1A1A"/>
          <w:sz w:val="25"/>
          <w:szCs w:val="25"/>
        </w:rPr>
        <w:t xml:space="preserve">What the team reports</w:t>
      </w:r>
    </w:p>
    <w:p>
      <w:pPr>
        <w:pStyle w:val="Heading3"/>
        <w:spacing w:after="120" w:before="220"/>
      </w:pPr>
      <w:r>
        <w:rPr>
          <w:rFonts w:ascii="Calibri" w:cs="Calibri" w:eastAsia="Calibri" w:hAnsi="Calibri"/>
          <w:b/>
          <w:bCs/>
          <w:color w:val="1A1A1A"/>
          <w:sz w:val="22"/>
          <w:szCs w:val="22"/>
        </w:rPr>
        <w:t xml:space="preserve">Engineering — Kiran (CTO) and Dana</w:t>
      </w:r>
    </w:p>
    <w:p>
      <w:pPr>
        <w:spacing w:after="140" w:before="0" w:line="320"/>
        <w:jc w:val="left"/>
      </w:pPr>
      <w:r>
        <w:rPr>
          <w:rFonts w:ascii="Calibri" w:cs="Calibri" w:eastAsia="Calibri" w:hAnsi="Calibri"/>
          <w:b w:val="false"/>
          <w:bCs w:val="false"/>
          <w:i w:val="false"/>
          <w:iCs w:val="false"/>
          <w:color w:val="1A1A1A"/>
          <w:sz w:val="22"/>
          <w:szCs w:val="22"/>
        </w:rPr>
        <w:t xml:space="preserve">January was the toughest engineering month of the year. Kiran flagged the senior departure on October 31; the new senior engineer offer extended in late January is contingent on visa, with start expected mid-February at earliest. Dana's velocity reading: 145 story points (versus 175 in October) — a 17% decline reflecting the open senior role. P0/P1 bug count peaked at 11; mean resolution time at 7.1 hours. Test coverage dropped to 68% as testing capacity contracted.</w:t>
      </w:r>
    </w:p>
    <w:p>
      <w:pPr>
        <w:spacing w:after="140" w:before="0" w:line="320"/>
        <w:jc w:val="left"/>
      </w:pPr>
      <w:r>
        <w:rPr>
          <w:rFonts w:ascii="Calibri" w:cs="Calibri" w:eastAsia="Calibri" w:hAnsi="Calibri"/>
          <w:b w:val="false"/>
          <w:bCs w:val="false"/>
          <w:i w:val="false"/>
          <w:iCs w:val="false"/>
          <w:color w:val="1A1A1A"/>
          <w:sz w:val="22"/>
          <w:szCs w:val="22"/>
        </w:rPr>
        <w:t xml:space="preserve">The team carrying the load deserves explicit acknowledgement — Olu (SRE2 hired in September) became one of the most valuable contributors during this period. Kiran's request for fast-tracked external recruiter spend ($25K placement fee) is approved.</w:t>
      </w:r>
    </w:p>
    <w:p>
      <w:pPr>
        <w:pStyle w:val="Heading3"/>
        <w:spacing w:after="120" w:before="220"/>
      </w:pPr>
      <w:r>
        <w:rPr>
          <w:rFonts w:ascii="Calibri" w:cs="Calibri" w:eastAsia="Calibri" w:hAnsi="Calibri"/>
          <w:b/>
          <w:bCs/>
          <w:color w:val="1A1A1A"/>
          <w:sz w:val="22"/>
          <w:szCs w:val="22"/>
        </w:rPr>
        <w:t xml:space="preserve">Product — Amara</w:t>
      </w:r>
    </w:p>
    <w:p>
      <w:pPr>
        <w:spacing w:after="140" w:before="0" w:line="320"/>
        <w:jc w:val="left"/>
      </w:pPr>
      <w:r>
        <w:rPr>
          <w:rFonts w:ascii="Calibri" w:cs="Calibri" w:eastAsia="Calibri" w:hAnsi="Calibri"/>
          <w:b w:val="false"/>
          <w:bCs w:val="false"/>
          <w:i w:val="false"/>
          <w:iCs w:val="false"/>
          <w:color w:val="1A1A1A"/>
          <w:sz w:val="22"/>
          <w:szCs w:val="22"/>
        </w:rPr>
        <w:t xml:space="preserve">Amara's January report contained the most consequential strategic input of the month: the AI-versus-integrations decision. Customer interviews and cohort analysis through Q4 2025 produced unambiguous evidence that integration depth is the retention driver in our market. Amara's recommendation: commit to integrations, treat AI as research project rather than product positioning. After our review session on January 23, I agreed and we have aligned the team on this direction. The strategic consequences are documented separately in the team strategic memo.</w:t>
      </w:r>
    </w:p>
    <w:p>
      <w:pPr>
        <w:pStyle w:val="Heading3"/>
        <w:spacing w:after="120" w:before="220"/>
      </w:pPr>
      <w:r>
        <w:rPr>
          <w:rFonts w:ascii="Calibri" w:cs="Calibri" w:eastAsia="Calibri" w:hAnsi="Calibri"/>
          <w:b/>
          <w:bCs/>
          <w:color w:val="1A1A1A"/>
          <w:sz w:val="22"/>
          <w:szCs w:val="22"/>
        </w:rPr>
        <w:t xml:space="preserve">Engineering and product (Dana, with Amara)</w:t>
      </w:r>
    </w:p>
    <w:p>
      <w:pPr>
        <w:spacing w:after="140" w:before="0" w:line="320"/>
        <w:jc w:val="left"/>
      </w:pPr>
      <w:r>
        <w:rPr>
          <w:rFonts w:ascii="Calibri" w:cs="Calibri" w:eastAsia="Calibri" w:hAnsi="Calibri"/>
          <w:b w:val="false"/>
          <w:bCs w:val="false"/>
          <w:i w:val="false"/>
          <w:iCs w:val="false"/>
          <w:color w:val="1A1A1A"/>
          <w:sz w:val="22"/>
          <w:szCs w:val="22"/>
        </w:rPr>
        <w:t xml:space="preserve">Dana's January report flagged that Q1 capacity will be constrained by the ramp-up of the new senior engineer. Roadmap items deferred from Q1 to Q2: 3-4 mid-priority items. The integrations partner program — the strategic priority following the Amara recommendation — is being protected against deferral; remediation work on Q4 quality regression is also being protected. Net effect: Q1 will deliver the strategic priorities at the cost of mid-priority feature shipments.</w:t>
      </w:r>
    </w:p>
    <w:p>
      <w:pPr>
        <w:pStyle w:val="Heading3"/>
        <w:spacing w:after="120" w:before="220"/>
      </w:pPr>
      <w:r>
        <w:rPr>
          <w:rFonts w:ascii="Calibri" w:cs="Calibri" w:eastAsia="Calibri" w:hAnsi="Calibri"/>
          <w:b/>
          <w:bCs/>
          <w:color w:val="1A1A1A"/>
          <w:sz w:val="22"/>
          <w:szCs w:val="22"/>
        </w:rPr>
        <w:t xml:space="preserve">Commercial — Tomás</w:t>
      </w:r>
    </w:p>
    <w:p>
      <w:pPr>
        <w:spacing w:after="140" w:before="0" w:line="320"/>
        <w:jc w:val="left"/>
      </w:pPr>
      <w:r>
        <w:rPr>
          <w:rFonts w:ascii="Calibri" w:cs="Calibri" w:eastAsia="Calibri" w:hAnsi="Calibri"/>
          <w:b w:val="false"/>
          <w:bCs w:val="false"/>
          <w:i w:val="false"/>
          <w:iCs w:val="false"/>
          <w:color w:val="1A1A1A"/>
          <w:sz w:val="22"/>
          <w:szCs w:val="22"/>
        </w:rPr>
        <w:t xml:space="preserve">Tomás's January report was honest about the trajectory: 9 closes (below January plan of 11), pipeline still full but conversion rates dropping, sales cycles continuing to elongate. Pipeline coverage at 3.8x for Q1 — adequate but tight. The save process for the four customers showing TechBridge-pattern signals (post-November) is in execution: two saves committed to multi-year contracts at lower tiers; one likely lost; one undecided.</w:t>
      </w:r>
    </w:p>
    <w:p>
      <w:pPr>
        <w:spacing w:after="140" w:before="0" w:line="320"/>
        <w:jc w:val="left"/>
      </w:pPr>
      <w:r>
        <w:rPr>
          <w:rFonts w:ascii="Calibri" w:cs="Calibri" w:eastAsia="Calibri" w:hAnsi="Calibri"/>
          <w:b w:val="false"/>
          <w:bCs w:val="false"/>
          <w:i w:val="false"/>
          <w:iCs w:val="false"/>
          <w:color w:val="1A1A1A"/>
          <w:sz w:val="22"/>
          <w:szCs w:val="22"/>
        </w:rPr>
        <w:t xml:space="preserve">Tomás's request for marketing investment in case studies (4-6 by end of Q2) is approved. The longer sales cycles are demanding more proof-point content than we currently have; without it, win rates will continue to drop.</w:t>
      </w:r>
    </w:p>
    <w:p>
      <w:pPr>
        <w:pStyle w:val="Heading3"/>
        <w:spacing w:after="120" w:before="220"/>
      </w:pPr>
      <w:r>
        <w:rPr>
          <w:rFonts w:ascii="Calibri" w:cs="Calibri" w:eastAsia="Calibri" w:hAnsi="Calibri"/>
          <w:b/>
          <w:bCs/>
          <w:color w:val="1A1A1A"/>
          <w:sz w:val="22"/>
          <w:szCs w:val="22"/>
        </w:rPr>
        <w:t xml:space="preserve">Operations and customer success — Sade</w:t>
      </w:r>
    </w:p>
    <w:p>
      <w:pPr>
        <w:spacing w:after="140" w:before="0" w:line="320"/>
        <w:jc w:val="left"/>
      </w:pPr>
      <w:r>
        <w:rPr>
          <w:rFonts w:ascii="Calibri" w:cs="Calibri" w:eastAsia="Calibri" w:hAnsi="Calibri"/>
          <w:b w:val="false"/>
          <w:bCs w:val="false"/>
          <w:i w:val="false"/>
          <w:iCs w:val="false"/>
          <w:color w:val="1A1A1A"/>
          <w:sz w:val="22"/>
          <w:szCs w:val="22"/>
        </w:rPr>
        <w:t xml:space="preserve">Sade's January report covers the worst service-level period of the past year. CSAT at 80% (against 90%+ target). First response time 6.2 hours (against 4-hour target). Customer health red zone at 17 customers (was 13 at end of October). The operational drivers — engineering bug spike + senior departure + holiday volume — are now substantially behind us; February should show recovery.</w:t>
      </w:r>
    </w:p>
    <w:p>
      <w:pPr>
        <w:spacing w:after="140" w:before="0" w:line="320"/>
        <w:jc w:val="left"/>
      </w:pPr>
      <w:r>
        <w:rPr>
          <w:rFonts w:ascii="Calibri" w:cs="Calibri" w:eastAsia="Calibri" w:hAnsi="Calibri"/>
          <w:b w:val="false"/>
          <w:bCs w:val="false"/>
          <w:i w:val="false"/>
          <w:iCs w:val="false"/>
          <w:color w:val="1A1A1A"/>
          <w:sz w:val="22"/>
          <w:szCs w:val="22"/>
        </w:rPr>
        <w:t xml:space="preserve">Sade's request for a CSM headcount addition ($65K/year) is approved. The save process described under Tomás's section is operationally being run by Sade's team.</w:t>
      </w:r>
    </w:p>
    <w:p>
      <w:pPr>
        <w:pStyle w:val="Heading3"/>
        <w:spacing w:after="120" w:before="220"/>
      </w:pPr>
      <w:r>
        <w:rPr>
          <w:rFonts w:ascii="Calibri" w:cs="Calibri" w:eastAsia="Calibri" w:hAnsi="Calibri"/>
          <w:b/>
          <w:bCs/>
          <w:color w:val="1A1A1A"/>
          <w:sz w:val="22"/>
          <w:szCs w:val="22"/>
        </w:rPr>
        <w:t xml:space="preserve">Finance — Maya</w:t>
      </w:r>
    </w:p>
    <w:p>
      <w:pPr>
        <w:spacing w:after="140" w:before="0" w:line="320"/>
        <w:jc w:val="left"/>
      </w:pPr>
      <w:r>
        <w:rPr>
          <w:rFonts w:ascii="Calibri" w:cs="Calibri" w:eastAsia="Calibri" w:hAnsi="Calibri"/>
          <w:b w:val="false"/>
          <w:bCs w:val="false"/>
          <w:i w:val="false"/>
          <w:iCs w:val="false"/>
          <w:color w:val="1A1A1A"/>
          <w:sz w:val="22"/>
          <w:szCs w:val="22"/>
        </w:rPr>
        <w:t xml:space="preserve">Maya's January report includes the formal recommendation to begin fundraise materials preparation now if maintaining current burn. Materials lead time: 8-12 weeks for a Series B-grade data room. Round timing target: Q4 2026 kick-off. Advisor selection: Maya recommends three firms for shortlisting; we will narrow at our March 1 meeting.</w:t>
      </w:r>
    </w:p>
    <w:p>
      <w:pPr>
        <w:spacing w:after="140" w:before="0" w:line="320"/>
        <w:jc w:val="left"/>
      </w:pPr>
      <w:r>
        <w:rPr>
          <w:rFonts w:ascii="Calibri" w:cs="Calibri" w:eastAsia="Calibri" w:hAnsi="Calibri"/>
          <w:b w:val="false"/>
          <w:bCs w:val="false"/>
          <w:i w:val="false"/>
          <w:iCs w:val="false"/>
          <w:color w:val="1A1A1A"/>
          <w:sz w:val="22"/>
          <w:szCs w:val="22"/>
        </w:rPr>
        <w:t xml:space="preserve">Maya's runway calculation reflects the senior departure cost saving (one month) being offset by the new senior hire ramp cost (effectively 2-3 months of partial productivity). Net runway position: 17.4 months at January burn pace.</w:t>
      </w:r>
    </w:p>
    <w:p>
      <w:pPr>
        <w:pStyle w:val="Heading3"/>
        <w:spacing w:after="120" w:before="220"/>
      </w:pPr>
      <w:r>
        <w:rPr>
          <w:rFonts w:ascii="Calibri" w:cs="Calibri" w:eastAsia="Calibri" w:hAnsi="Calibri"/>
          <w:b/>
          <w:bCs/>
          <w:color w:val="1A1A1A"/>
          <w:sz w:val="22"/>
          <w:szCs w:val="22"/>
        </w:rPr>
        <w:t xml:space="preserve">People — Jerome</w:t>
      </w:r>
    </w:p>
    <w:p>
      <w:pPr>
        <w:spacing w:after="140" w:before="0" w:line="320"/>
        <w:jc w:val="left"/>
      </w:pPr>
      <w:r>
        <w:rPr>
          <w:rFonts w:ascii="Calibri" w:cs="Calibri" w:eastAsia="Calibri" w:hAnsi="Calibri"/>
          <w:b w:val="false"/>
          <w:bCs w:val="false"/>
          <w:i w:val="false"/>
          <w:iCs w:val="false"/>
          <w:color w:val="1A1A1A"/>
          <w:sz w:val="22"/>
          <w:szCs w:val="22"/>
        </w:rPr>
        <w:t xml:space="preserve">Jerome's January report is mostly about team capacity recovery. The November retro produced specific commitments from the engineering team for strategic clarity; Amara's January integrations decision addresses much of this directly. Q1 engagement pulse will be in February; Jerome's expectation is a recovery from the Q4 lows but not yet at pre-departure baseline.</w:t>
      </w:r>
    </w:p>
    <w:p>
      <w:pPr>
        <w:pStyle w:val="Heading2"/>
        <w:spacing w:after="160" w:before="300"/>
      </w:pPr>
      <w:r>
        <w:rPr>
          <w:rFonts w:ascii="Georgia" w:cs="Georgia" w:eastAsia="Georgia" w:hAnsi="Georgia"/>
          <w:b/>
          <w:bCs/>
          <w:color w:val="1A1A1A"/>
          <w:sz w:val="25"/>
          <w:szCs w:val="25"/>
        </w:rPr>
        <w:t xml:space="preserve">Strategic decisions in formation</w:t>
      </w:r>
    </w:p>
    <w:p>
      <w:pPr>
        <w:pStyle w:val="Heading3"/>
        <w:spacing w:after="120" w:before="220"/>
      </w:pPr>
      <w:r>
        <w:rPr>
          <w:rFonts w:ascii="Calibri" w:cs="Calibri" w:eastAsia="Calibri" w:hAnsi="Calibri"/>
          <w:b/>
          <w:bCs/>
          <w:color w:val="1A1A1A"/>
          <w:sz w:val="22"/>
          <w:szCs w:val="22"/>
        </w:rPr>
        <w:t xml:space="preserve">1. Integrations as moat (decided)</w:t>
      </w:r>
    </w:p>
    <w:p>
      <w:pPr>
        <w:spacing w:after="140" w:before="0" w:line="320"/>
        <w:jc w:val="left"/>
      </w:pPr>
      <w:r>
        <w:rPr>
          <w:rFonts w:ascii="Calibri" w:cs="Calibri" w:eastAsia="Calibri" w:hAnsi="Calibri"/>
          <w:b w:val="false"/>
          <w:bCs w:val="false"/>
          <w:i w:val="false"/>
          <w:iCs w:val="false"/>
          <w:color w:val="1A1A1A"/>
          <w:sz w:val="22"/>
          <w:szCs w:val="22"/>
        </w:rPr>
        <w:t xml:space="preserve">Following Amara's January recommendation, we have committed to integrations as the strategic moat over the next 6 quarters. AI features remain on the roadmap as research and as customer-facing experiences within our existing product, but not as the primary positioning or competitive thesis. The implications: integration partner program receives priority Q1-Q2 capacity; our hiring profile in product and engineering will lean toward integration depth; our marketing narrative will emphasise integration moat.</w:t>
      </w:r>
    </w:p>
    <w:p>
      <w:pPr>
        <w:pStyle w:val="Heading3"/>
        <w:spacing w:after="120" w:before="220"/>
      </w:pPr>
      <w:r>
        <w:rPr>
          <w:rFonts w:ascii="Calibri" w:cs="Calibri" w:eastAsia="Calibri" w:hAnsi="Calibri"/>
          <w:b/>
          <w:bCs/>
          <w:color w:val="1A1A1A"/>
          <w:sz w:val="22"/>
          <w:szCs w:val="22"/>
        </w:rPr>
        <w:t xml:space="preserve">2. Series B fundraise positioning (in formation)</w:t>
      </w:r>
    </w:p>
    <w:p>
      <w:pPr>
        <w:spacing w:after="140" w:before="0" w:line="320"/>
        <w:jc w:val="left"/>
      </w:pPr>
      <w:r>
        <w:rPr>
          <w:rFonts w:ascii="Calibri" w:cs="Calibri" w:eastAsia="Calibri" w:hAnsi="Calibri"/>
          <w:b w:val="false"/>
          <w:bCs w:val="false"/>
          <w:i w:val="false"/>
          <w:iCs w:val="false"/>
          <w:color w:val="1A1A1A"/>
          <w:sz w:val="22"/>
          <w:szCs w:val="22"/>
        </w:rPr>
        <w:t xml:space="preserve">Maya's recommendation to begin materials preparation now is accepted. The work program: shortlist advisors (March 1 meeting), engage advisor (April), data room construction (May-June), pre-marketing investor conversations (July-August), formal kick-off (October-November). Round size and structure to be determined as conversations develop.</w:t>
      </w:r>
    </w:p>
    <w:p>
      <w:pPr>
        <w:spacing w:after="140" w:before="0" w:line="320"/>
        <w:jc w:val="left"/>
      </w:pPr>
      <w:r>
        <w:rPr>
          <w:rFonts w:ascii="Calibri" w:cs="Calibri" w:eastAsia="Calibri" w:hAnsi="Calibri"/>
          <w:b w:val="false"/>
          <w:bCs w:val="false"/>
          <w:i w:val="false"/>
          <w:iCs w:val="false"/>
          <w:color w:val="1A1A1A"/>
          <w:sz w:val="22"/>
          <w:szCs w:val="22"/>
        </w:rPr>
        <w:t xml:space="preserve">The single most important variable for round positioning is whether NRR stabilises above 100% by mid-year. If it does, the round narrative is strong. If it slips below 100%, the round narrative becomes structurally harder. The customer health save process (Sade and Tomás) is the most consequential operational work in the company through Q2.</w:t>
      </w:r>
    </w:p>
    <w:p>
      <w:pPr>
        <w:pStyle w:val="Heading3"/>
        <w:spacing w:after="120" w:before="220"/>
      </w:pPr>
      <w:r>
        <w:rPr>
          <w:rFonts w:ascii="Calibri" w:cs="Calibri" w:eastAsia="Calibri" w:hAnsi="Calibri"/>
          <w:b/>
          <w:bCs/>
          <w:color w:val="1A1A1A"/>
          <w:sz w:val="22"/>
          <w:szCs w:val="22"/>
        </w:rPr>
        <w:t xml:space="preserve">3. Engineering capacity recovery (executing)</w:t>
      </w:r>
    </w:p>
    <w:p>
      <w:pPr>
        <w:spacing w:after="140" w:before="0" w:line="320"/>
        <w:jc w:val="left"/>
      </w:pPr>
      <w:r>
        <w:rPr>
          <w:rFonts w:ascii="Calibri" w:cs="Calibri" w:eastAsia="Calibri" w:hAnsi="Calibri"/>
          <w:b w:val="false"/>
          <w:bCs w:val="false"/>
          <w:i w:val="false"/>
          <w:iCs w:val="false"/>
          <w:color w:val="1A1A1A"/>
          <w:sz w:val="22"/>
          <w:szCs w:val="22"/>
        </w:rPr>
        <w:t xml:space="preserve">New senior engineer expected mid-February. Targeted ramp: 6 weeks to baseline contribution, 10-12 weeks to senior contribution. Dana's roadmap deferral plan covers the Q1 impact; Q2 expectation is full velocity recovery.</w:t>
      </w:r>
    </w:p>
    <w:p>
      <w:pPr>
        <w:pStyle w:val="Heading2"/>
        <w:spacing w:after="160" w:before="300"/>
      </w:pPr>
      <w:r>
        <w:rPr>
          <w:rFonts w:ascii="Georgia" w:cs="Georgia" w:eastAsia="Georgia" w:hAnsi="Georgia"/>
          <w:b/>
          <w:bCs/>
          <w:color w:val="1A1A1A"/>
          <w:sz w:val="25"/>
          <w:szCs w:val="25"/>
        </w:rPr>
        <w:t xml:space="preserve">What I'm watching</w:t>
      </w:r>
    </w:p>
    <w:p>
      <w:pPr>
        <w:pStyle w:val="ListParagraph"/>
        <w:numPr>
          <w:ilvl w:val="0"/>
          <w:numId w:val="2"/>
        </w:numPr>
        <w:spacing w:after="90" w:line="320"/>
      </w:pPr>
      <w:r>
        <w:rPr>
          <w:rFonts w:ascii="Calibri" w:cs="Calibri" w:eastAsia="Calibri" w:hAnsi="Calibri"/>
          <w:color w:val="1A1A1A"/>
          <w:sz w:val="22"/>
          <w:szCs w:val="22"/>
        </w:rPr>
        <w:t xml:space="preserve">Customer health red zone — 17 customers at end of January. Save process in execution; Q1 outcome will determine NRR trajectory.</w:t>
      </w:r>
    </w:p>
    <w:p>
      <w:pPr>
        <w:pStyle w:val="ListParagraph"/>
        <w:numPr>
          <w:ilvl w:val="0"/>
          <w:numId w:val="2"/>
        </w:numPr>
        <w:spacing w:after="90" w:line="320"/>
      </w:pPr>
      <w:r>
        <w:rPr>
          <w:rFonts w:ascii="Calibri" w:cs="Calibri" w:eastAsia="Calibri" w:hAnsi="Calibri"/>
          <w:color w:val="1A1A1A"/>
          <w:sz w:val="22"/>
          <w:szCs w:val="22"/>
        </w:rPr>
        <w:t xml:space="preserve">Sales cycle and conversion. If February sees improvement, the trajectory is stabilising. If not, we are in a structural buying-environment shift that requires a more substantive response than case studies.</w:t>
      </w:r>
    </w:p>
    <w:p>
      <w:pPr>
        <w:pStyle w:val="ListParagraph"/>
        <w:numPr>
          <w:ilvl w:val="0"/>
          <w:numId w:val="2"/>
        </w:numPr>
        <w:spacing w:after="90" w:line="320"/>
      </w:pPr>
      <w:r>
        <w:rPr>
          <w:rFonts w:ascii="Calibri" w:cs="Calibri" w:eastAsia="Calibri" w:hAnsi="Calibri"/>
          <w:color w:val="1A1A1A"/>
          <w:sz w:val="22"/>
          <w:szCs w:val="22"/>
        </w:rPr>
        <w:t xml:space="preserve">Engineering ramp. If the new senior engineer's visa is delayed, we lose another 4-6 weeks of capacity; contingency plan in development.</w:t>
      </w:r>
    </w:p>
    <w:p>
      <w:pPr>
        <w:pStyle w:val="ListParagraph"/>
        <w:numPr>
          <w:ilvl w:val="0"/>
          <w:numId w:val="2"/>
        </w:numPr>
        <w:spacing w:after="90" w:line="320"/>
      </w:pPr>
      <w:r>
        <w:rPr>
          <w:rFonts w:ascii="Calibri" w:cs="Calibri" w:eastAsia="Calibri" w:hAnsi="Calibri"/>
          <w:color w:val="1A1A1A"/>
          <w:sz w:val="22"/>
          <w:szCs w:val="22"/>
        </w:rPr>
        <w:t xml:space="preserve">Burn multiple at 1.9x — approaching the 2.0x threshold that triggers VC partner engagement on round timing. If burn multiple sustains above 2.0x for two months, round positioning narrows materially.</w:t>
      </w:r>
    </w:p>
    <w:p>
      <w:pPr>
        <w:pStyle w:val="Heading2"/>
        <w:spacing w:after="160" w:before="300"/>
      </w:pPr>
      <w:r>
        <w:rPr>
          <w:rFonts w:ascii="Georgia" w:cs="Georgia" w:eastAsia="Georgia" w:hAnsi="Georgia"/>
          <w:b/>
          <w:bCs/>
          <w:color w:val="1A1A1A"/>
          <w:sz w:val="25"/>
          <w:szCs w:val="25"/>
        </w:rPr>
        <w:t xml:space="preserve">Investor questions I expect</w:t>
      </w:r>
    </w:p>
    <w:p>
      <w:pPr>
        <w:spacing w:after="140" w:before="0" w:line="320"/>
        <w:jc w:val="left"/>
      </w:pPr>
      <w:r>
        <w:rPr>
          <w:rFonts w:ascii="Calibri" w:cs="Calibri" w:eastAsia="Calibri" w:hAnsi="Calibri"/>
          <w:b w:val="false"/>
          <w:bCs w:val="false"/>
          <w:i w:val="false"/>
          <w:iCs w:val="false"/>
          <w:color w:val="1A1A1A"/>
          <w:sz w:val="22"/>
          <w:szCs w:val="22"/>
        </w:rPr>
        <w:t xml:space="preserve">If you were Bram's investor reading this report, you might ask: (a) what specific milestones in February-April should I watch to know whether Q1 was a stabilisation or a continued slide; (b) why integrations and not AI when the market is rewarding AI positioning; (c) what's the realistic round timing if NRR doesn't stabilise above 100%. I'm happy to discuss each.</w:t>
      </w:r>
    </w:p>
    <w:p>
      <w:pPr>
        <w:pStyle w:val="Heading2"/>
        <w:spacing w:after="160" w:before="300"/>
      </w:pPr>
      <w:r>
        <w:rPr>
          <w:rFonts w:ascii="Georgia" w:cs="Georgia" w:eastAsia="Georgia" w:hAnsi="Georgia"/>
          <w:b/>
          <w:bCs/>
          <w:color w:val="1A1A1A"/>
          <w:sz w:val="25"/>
          <w:szCs w:val="25"/>
        </w:rPr>
        <w:t xml:space="preserve">Asks</w:t>
      </w:r>
    </w:p>
    <w:p>
      <w:pPr>
        <w:pStyle w:val="ListParagraph"/>
        <w:numPr>
          <w:ilvl w:val="0"/>
          <w:numId w:val="2"/>
        </w:numPr>
        <w:spacing w:after="90" w:line="320"/>
      </w:pPr>
      <w:r>
        <w:rPr>
          <w:rFonts w:ascii="Calibri" w:cs="Calibri" w:eastAsia="Calibri" w:hAnsi="Calibri"/>
          <w:color w:val="1A1A1A"/>
          <w:sz w:val="22"/>
          <w:szCs w:val="22"/>
        </w:rPr>
        <w:t xml:space="preserve">Approval of the AKKI-supported customer health save tracking — I want to put detailed monthly reporting on the four TechBridge-pattern accounts in your hands.</w:t>
      </w:r>
    </w:p>
    <w:p>
      <w:pPr>
        <w:pStyle w:val="ListParagraph"/>
        <w:numPr>
          <w:ilvl w:val="0"/>
          <w:numId w:val="2"/>
        </w:numPr>
        <w:spacing w:after="90" w:line="320"/>
      </w:pPr>
      <w:r>
        <w:rPr>
          <w:rFonts w:ascii="Calibri" w:cs="Calibri" w:eastAsia="Calibri" w:hAnsi="Calibri"/>
          <w:color w:val="1A1A1A"/>
          <w:sz w:val="22"/>
          <w:szCs w:val="22"/>
        </w:rPr>
        <w:t xml:space="preserve">Introductions to Series B advisors you have worked with successfully in similar timing windows.</w:t>
      </w:r>
    </w:p>
    <w:p>
      <w:pPr>
        <w:pStyle w:val="ListParagraph"/>
        <w:numPr>
          <w:ilvl w:val="0"/>
          <w:numId w:val="2"/>
        </w:numPr>
        <w:spacing w:after="90" w:line="320"/>
      </w:pPr>
      <w:r>
        <w:rPr>
          <w:rFonts w:ascii="Calibri" w:cs="Calibri" w:eastAsia="Calibri" w:hAnsi="Calibri"/>
          <w:color w:val="1A1A1A"/>
          <w:sz w:val="22"/>
          <w:szCs w:val="22"/>
        </w:rPr>
        <w:t xml:space="preserve">Time on calendar with each of you in February to discuss the integrations strategy in detail.</w:t>
      </w:r>
    </w:p>
    <w:p>
      <w:pPr>
        <w:pStyle w:val="Heading2"/>
        <w:spacing w:after="160" w:before="300"/>
      </w:pPr>
      <w:r>
        <w:rPr>
          <w:rFonts w:ascii="Georgia" w:cs="Georgia" w:eastAsia="Georgia" w:hAnsi="Georgia"/>
          <w:b/>
          <w:bCs/>
          <w:color w:val="1A1A1A"/>
          <w:sz w:val="25"/>
          <w:szCs w:val="25"/>
        </w:rPr>
        <w:t xml:space="preserve">Closing</w:t>
      </w:r>
    </w:p>
    <w:p>
      <w:pPr>
        <w:spacing w:after="140" w:before="0" w:line="320"/>
        <w:jc w:val="left"/>
      </w:pPr>
      <w:r>
        <w:rPr>
          <w:rFonts w:ascii="Calibri" w:cs="Calibri" w:eastAsia="Calibri" w:hAnsi="Calibri"/>
          <w:b w:val="false"/>
          <w:bCs w:val="false"/>
          <w:i w:val="false"/>
          <w:iCs w:val="false"/>
          <w:color w:val="1A1A1A"/>
          <w:sz w:val="22"/>
          <w:szCs w:val="22"/>
        </w:rPr>
        <w:t xml:space="preserve">January was hard but not bad. The Q4 trajectory has not extended; the strategic decisions are clearer than they were at year start; the team is intact and recovering. February will be the test of whether the stabilisation holds.</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Bram</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2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Monthly Consolidated Management Report — February 2026</w:t>
      </w:r>
    </w:p>
    <w:p>
      <w:pPr>
        <w:spacing w:after="240"/>
      </w:pPr>
      <w:r>
        <w:rPr>
          <w:rFonts w:ascii="Georgia" w:cs="Georgia" w:eastAsia="Georgia" w:hAnsi="Georgia"/>
          <w:i/>
          <w:iCs/>
          <w:color w:val="2B2B2A"/>
          <w:sz w:val="26"/>
          <w:szCs w:val="26"/>
        </w:rPr>
        <w:t xml:space="preserve">Submitted by Bram Mwalo (Founder &amp; CEO) to investors and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February – 28 February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Drafted via</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AKKI Reporting Cycle from 7 reportee submissions</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Sent by</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from bram@syni.ai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sent</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 March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From Bram</w:t>
      </w:r>
    </w:p>
    <w:p>
      <w:pPr>
        <w:spacing w:after="140" w:before="0" w:line="320"/>
        <w:jc w:val="left"/>
      </w:pPr>
      <w:r>
        <w:rPr>
          <w:rFonts w:ascii="Calibri" w:cs="Calibri" w:eastAsia="Calibri" w:hAnsi="Calibri"/>
          <w:b w:val="false"/>
          <w:bCs w:val="false"/>
          <w:i w:val="false"/>
          <w:iCs w:val="false"/>
          <w:color w:val="1A1A1A"/>
          <w:sz w:val="22"/>
          <w:szCs w:val="22"/>
        </w:rPr>
        <w:t xml:space="preserve">February was the month the trajectory began to bend back. It is too early to call it a turn but the early signals are encouraging: customer health red zone declined for the first time since August, the new senior engineer started, the integrations work began producing pipeline conversion. We also lost MeshConnect — one of the four save-target accounts — which was disappointing but not surprising given the procurement timeline. This report focuses on what's changing and what to watch in March.</w:t>
      </w:r>
    </w:p>
    <w:p>
      <w:pPr>
        <w:pStyle w:val="Heading2"/>
        <w:spacing w:after="160" w:before="300"/>
      </w:pPr>
      <w:r>
        <w:rPr>
          <w:rFonts w:ascii="Georgia" w:cs="Georgia" w:eastAsia="Georgia" w:hAnsi="Georgia"/>
          <w:b/>
          <w:bCs/>
          <w:color w:val="1A1A1A"/>
          <w:sz w:val="25"/>
          <w:szCs w:val="25"/>
        </w:rPr>
        <w:t xml:space="preserve">Financial position — February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Feb 2026</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Feb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2026</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201,000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215,000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194,000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ARR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2.41M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2.58M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(6.6%)</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2.33M</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new ARR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76,000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(33.9%)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85,000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Customers (count)</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121</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129</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117</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NRR (trailing 12m)</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(700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105%</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burn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120,000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105,000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115,000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Runway (months)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16.5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(15.4%)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Burn multiple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1.9x</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February: 8 closes (below plan of 10), MeshConnect churn ($84K ARR loss flowed through), but the deterioration paused. Net new ARR is below plan but burn multiple held flat at 1.9x — capital efficiency stopped declining. The runway calculation includes the MeshConnect loss; without it, runway position would be 17.0 months.</w:t>
      </w:r>
    </w:p>
    <w:p>
      <w:pPr>
        <w:pStyle w:val="Heading2"/>
        <w:spacing w:after="160" w:before="300"/>
      </w:pPr>
      <w:r>
        <w:rPr>
          <w:rFonts w:ascii="Georgia" w:cs="Georgia" w:eastAsia="Georgia" w:hAnsi="Georgia"/>
          <w:b/>
          <w:bCs/>
          <w:color w:val="1A1A1A"/>
          <w:sz w:val="25"/>
          <w:szCs w:val="25"/>
        </w:rPr>
        <w:t xml:space="preserve">What the team reports</w:t>
      </w:r>
    </w:p>
    <w:p>
      <w:pPr>
        <w:pStyle w:val="Heading3"/>
        <w:spacing w:after="120" w:before="220"/>
      </w:pPr>
      <w:r>
        <w:rPr>
          <w:rFonts w:ascii="Calibri" w:cs="Calibri" w:eastAsia="Calibri" w:hAnsi="Calibri"/>
          <w:b/>
          <w:bCs/>
          <w:color w:val="1A1A1A"/>
          <w:sz w:val="22"/>
          <w:szCs w:val="22"/>
        </w:rPr>
        <w:t xml:space="preserve">Engineering — Kiran and Dana</w:t>
      </w:r>
    </w:p>
    <w:p>
      <w:pPr>
        <w:spacing w:after="140" w:before="0" w:line="320"/>
        <w:jc w:val="left"/>
      </w:pPr>
      <w:r>
        <w:rPr>
          <w:rFonts w:ascii="Calibri" w:cs="Calibri" w:eastAsia="Calibri" w:hAnsi="Calibri"/>
          <w:b w:val="false"/>
          <w:bCs w:val="false"/>
          <w:i w:val="false"/>
          <w:iCs w:val="false"/>
          <w:color w:val="1A1A1A"/>
          <w:sz w:val="22"/>
          <w:szCs w:val="22"/>
        </w:rPr>
        <w:t xml:space="preserve">Mara Chen (the new senior engineer) started February 17. Her ramp is faster than expected — she contributed meaningful work in week three and is leading the integrations partner integration design as of week four. P0/P1 bug count back to 9 (from 11 in January). Test coverage at 70% and rising. Velocity recovered to 168 story points.</w:t>
      </w:r>
    </w:p>
    <w:p>
      <w:pPr>
        <w:spacing w:after="140" w:before="0" w:line="320"/>
        <w:jc w:val="left"/>
      </w:pPr>
      <w:r>
        <w:rPr>
          <w:rFonts w:ascii="Calibri" w:cs="Calibri" w:eastAsia="Calibri" w:hAnsi="Calibri"/>
          <w:b w:val="false"/>
          <w:bCs w:val="false"/>
          <w:i w:val="false"/>
          <w:iCs w:val="false"/>
          <w:color w:val="1A1A1A"/>
          <w:sz w:val="22"/>
          <w:szCs w:val="22"/>
        </w:rPr>
        <w:t xml:space="preserve">Kiran's most strategic note in February: the engineering team morale is materially better. The November retro commitments around strategic clarity have landed; Mara's arrival is energising; the integrations focus is unifying. Q1 engagement pulse showed 81% favourable in engineering — above pre-departure baseline.</w:t>
      </w:r>
    </w:p>
    <w:p>
      <w:pPr>
        <w:pStyle w:val="Heading3"/>
        <w:spacing w:after="120" w:before="220"/>
      </w:pPr>
      <w:r>
        <w:rPr>
          <w:rFonts w:ascii="Calibri" w:cs="Calibri" w:eastAsia="Calibri" w:hAnsi="Calibri"/>
          <w:b/>
          <w:bCs/>
          <w:color w:val="1A1A1A"/>
          <w:sz w:val="22"/>
          <w:szCs w:val="22"/>
        </w:rPr>
        <w:t xml:space="preserve">Product — Amara</w:t>
      </w:r>
    </w:p>
    <w:p>
      <w:pPr>
        <w:spacing w:after="140" w:before="0" w:line="320"/>
        <w:jc w:val="left"/>
      </w:pPr>
      <w:r>
        <w:rPr>
          <w:rFonts w:ascii="Calibri" w:cs="Calibri" w:eastAsia="Calibri" w:hAnsi="Calibri"/>
          <w:b w:val="false"/>
          <w:bCs w:val="false"/>
          <w:i w:val="false"/>
          <w:iCs w:val="false"/>
          <w:color w:val="1A1A1A"/>
          <w:sz w:val="22"/>
          <w:szCs w:val="22"/>
        </w:rPr>
        <w:t xml:space="preserve">Amara's February report focuses on integration partner program execution. Three integrations shipped in February (Salesforce v2, HubSpot v2, Slack v2). Three deals closed in February cited integration depth as the close-driver — early validation that the strategic decision is producing operational results.</w:t>
      </w:r>
    </w:p>
    <w:p>
      <w:pPr>
        <w:spacing w:after="140" w:before="0" w:line="320"/>
        <w:jc w:val="left"/>
      </w:pPr>
      <w:r>
        <w:rPr>
          <w:rFonts w:ascii="Calibri" w:cs="Calibri" w:eastAsia="Calibri" w:hAnsi="Calibri"/>
          <w:b w:val="false"/>
          <w:bCs w:val="false"/>
          <w:i w:val="false"/>
          <w:iCs w:val="false"/>
          <w:color w:val="1A1A1A"/>
          <w:sz w:val="22"/>
          <w:szCs w:val="22"/>
        </w:rPr>
        <w:t xml:space="preserve">Amara's strategic concern in February: the Q1 messaging refresh in marketing has not landed yet. Sales conversations are still emphasising AI features rather than integration depth; the case studies the marketing team is building need to anchor on integration outcomes specifically.</w:t>
      </w:r>
    </w:p>
    <w:p>
      <w:pPr>
        <w:pStyle w:val="Heading3"/>
        <w:spacing w:after="120" w:before="220"/>
      </w:pPr>
      <w:r>
        <w:rPr>
          <w:rFonts w:ascii="Calibri" w:cs="Calibri" w:eastAsia="Calibri" w:hAnsi="Calibri"/>
          <w:b/>
          <w:bCs/>
          <w:color w:val="1A1A1A"/>
          <w:sz w:val="22"/>
          <w:szCs w:val="22"/>
        </w:rPr>
        <w:t xml:space="preserve">Commercial — Tomás</w:t>
      </w:r>
    </w:p>
    <w:p>
      <w:pPr>
        <w:spacing w:after="140" w:before="0" w:line="320"/>
        <w:jc w:val="left"/>
      </w:pPr>
      <w:r>
        <w:rPr>
          <w:rFonts w:ascii="Calibri" w:cs="Calibri" w:eastAsia="Calibri" w:hAnsi="Calibri"/>
          <w:b w:val="false"/>
          <w:bCs w:val="false"/>
          <w:i w:val="false"/>
          <w:iCs w:val="false"/>
          <w:color w:val="1A1A1A"/>
          <w:sz w:val="22"/>
          <w:szCs w:val="22"/>
        </w:rPr>
        <w:t xml:space="preserve">Tomás reported 8 closes in February. Three of those were specifically integration-driven — AcmeCo, MeridianTech (closed February 28, will count in March numbers depending on revenue recognition), and a smaller deal where the Salesforce integration was the deciding factor. Pipeline coverage at 3.6x; sales cycle averaging 64 days (improvement from 67 in January).</w:t>
      </w:r>
    </w:p>
    <w:p>
      <w:pPr>
        <w:spacing w:after="140" w:before="0" w:line="320"/>
        <w:jc w:val="left"/>
      </w:pPr>
      <w:r>
        <w:rPr>
          <w:rFonts w:ascii="Calibri" w:cs="Calibri" w:eastAsia="Calibri" w:hAnsi="Calibri"/>
          <w:b w:val="false"/>
          <w:bCs w:val="false"/>
          <w:i w:val="false"/>
          <w:iCs w:val="false"/>
          <w:color w:val="1A1A1A"/>
          <w:sz w:val="22"/>
          <w:szCs w:val="22"/>
        </w:rPr>
        <w:t xml:space="preserve">MeshConnect formally churned February 18 — the buyer chose to build internally given budget tightening at their end. Tomás's lessons learned: the buyer relationship had been transitioning since their executive sponsor left in October; we did not work the new buyer fast enough. The save process post-mortem is informing the four-account watchlist for March.</w:t>
      </w:r>
    </w:p>
    <w:p>
      <w:pPr>
        <w:spacing w:after="140" w:before="0" w:line="320"/>
        <w:jc w:val="left"/>
      </w:pPr>
      <w:r>
        <w:rPr>
          <w:rFonts w:ascii="Calibri" w:cs="Calibri" w:eastAsia="Calibri" w:hAnsi="Calibri"/>
          <w:b w:val="false"/>
          <w:bCs w:val="false"/>
          <w:i w:val="false"/>
          <w:iCs w:val="false"/>
          <w:color w:val="1A1A1A"/>
          <w:sz w:val="22"/>
          <w:szCs w:val="22"/>
        </w:rPr>
        <w:t xml:space="preserve">Tomás's marketing case studies request is in execution — three drafts in development, target two completed by end of March.</w:t>
      </w:r>
    </w:p>
    <w:p>
      <w:pPr>
        <w:pStyle w:val="Heading3"/>
        <w:spacing w:after="120" w:before="220"/>
      </w:pPr>
      <w:r>
        <w:rPr>
          <w:rFonts w:ascii="Calibri" w:cs="Calibri" w:eastAsia="Calibri" w:hAnsi="Calibri"/>
          <w:b/>
          <w:bCs/>
          <w:color w:val="1A1A1A"/>
          <w:sz w:val="22"/>
          <w:szCs w:val="22"/>
        </w:rPr>
        <w:t xml:space="preserve">Operations and customer success — Sade</w:t>
      </w:r>
    </w:p>
    <w:p>
      <w:pPr>
        <w:spacing w:after="140" w:before="0" w:line="320"/>
        <w:jc w:val="left"/>
      </w:pPr>
      <w:r>
        <w:rPr>
          <w:rFonts w:ascii="Calibri" w:cs="Calibri" w:eastAsia="Calibri" w:hAnsi="Calibri"/>
          <w:b w:val="false"/>
          <w:bCs w:val="false"/>
          <w:i w:val="false"/>
          <w:iCs w:val="false"/>
          <w:color w:val="1A1A1A"/>
          <w:sz w:val="22"/>
          <w:szCs w:val="22"/>
        </w:rPr>
        <w:t xml:space="preserve">Sade's February report contains the most encouraging data of the month: customer health red zone decreased for the first time since August. From 17 (January) to 18 in mid-February (peak), to 14 at month-end as save efforts produced returns. Specific outcomes: Calton Group (saved at expanded tier), IronMile (saved at lower tier), Larkin (lost — already churned), Bayfield (renewal pending — likely retain).</w:t>
      </w:r>
    </w:p>
    <w:p>
      <w:pPr>
        <w:spacing w:after="140" w:before="0" w:line="320"/>
        <w:jc w:val="left"/>
      </w:pPr>
      <w:r>
        <w:rPr>
          <w:rFonts w:ascii="Calibri" w:cs="Calibri" w:eastAsia="Calibri" w:hAnsi="Calibri"/>
          <w:b w:val="false"/>
          <w:bCs w:val="false"/>
          <w:i w:val="false"/>
          <w:iCs w:val="false"/>
          <w:color w:val="1A1A1A"/>
          <w:sz w:val="22"/>
          <w:szCs w:val="22"/>
        </w:rPr>
        <w:t xml:space="preserve">Service levels also recovering: CSAT at 84% (from 80% in January); first response time at 4.8 hours (from 6.2). The operational improvements are correlated with the engineering capacity recovery — fewer bugs to resolve, more time for proactive customer engagement.</w:t>
      </w:r>
    </w:p>
    <w:p>
      <w:pPr>
        <w:pStyle w:val="Heading3"/>
        <w:spacing w:after="120" w:before="220"/>
      </w:pPr>
      <w:r>
        <w:rPr>
          <w:rFonts w:ascii="Calibri" w:cs="Calibri" w:eastAsia="Calibri" w:hAnsi="Calibri"/>
          <w:b/>
          <w:bCs/>
          <w:color w:val="1A1A1A"/>
          <w:sz w:val="22"/>
          <w:szCs w:val="22"/>
        </w:rPr>
        <w:t xml:space="preserve">Finance — Maya</w:t>
      </w:r>
    </w:p>
    <w:p>
      <w:pPr>
        <w:spacing w:after="140" w:before="0" w:line="320"/>
        <w:jc w:val="left"/>
      </w:pPr>
      <w:r>
        <w:rPr>
          <w:rFonts w:ascii="Calibri" w:cs="Calibri" w:eastAsia="Calibri" w:hAnsi="Calibri"/>
          <w:b w:val="false"/>
          <w:bCs w:val="false"/>
          <w:i w:val="false"/>
          <w:iCs w:val="false"/>
          <w:color w:val="1A1A1A"/>
          <w:sz w:val="22"/>
          <w:szCs w:val="22"/>
        </w:rPr>
        <w:t xml:space="preserve">Maya's February report includes the advisor shortlist for the Series B fundraise. Three firms recommended; conversations scheduled across early March; advisor selection by end of March. Round size envelope: $20-30M based on early-conversation feedback from peer founders who recently raised.</w:t>
      </w:r>
    </w:p>
    <w:p>
      <w:pPr>
        <w:spacing w:after="140" w:before="0" w:line="320"/>
        <w:jc w:val="left"/>
      </w:pPr>
      <w:r>
        <w:rPr>
          <w:rFonts w:ascii="Calibri" w:cs="Calibri" w:eastAsia="Calibri" w:hAnsi="Calibri"/>
          <w:b w:val="false"/>
          <w:bCs w:val="false"/>
          <w:i w:val="false"/>
          <w:iCs w:val="false"/>
          <w:color w:val="1A1A1A"/>
          <w:sz w:val="22"/>
          <w:szCs w:val="22"/>
        </w:rPr>
        <w:t xml:space="preserve">Maya's burn analysis: the burn multiple holding at 1.9x is the right reading of the month. The NRR softening is the variable to watch — Maya's view is that if NRR stabilises above 102% by mid-year, the round narrative is strong; below 100% creates structural pricing pressure.</w:t>
      </w:r>
    </w:p>
    <w:p>
      <w:pPr>
        <w:pStyle w:val="Heading3"/>
        <w:spacing w:after="120" w:before="220"/>
      </w:pPr>
      <w:r>
        <w:rPr>
          <w:rFonts w:ascii="Calibri" w:cs="Calibri" w:eastAsia="Calibri" w:hAnsi="Calibri"/>
          <w:b/>
          <w:bCs/>
          <w:color w:val="1A1A1A"/>
          <w:sz w:val="22"/>
          <w:szCs w:val="22"/>
        </w:rPr>
        <w:t xml:space="preserve">People — Jerome</w:t>
      </w:r>
    </w:p>
    <w:p>
      <w:pPr>
        <w:spacing w:after="140" w:before="0" w:line="320"/>
        <w:jc w:val="left"/>
      </w:pPr>
      <w:r>
        <w:rPr>
          <w:rFonts w:ascii="Calibri" w:cs="Calibri" w:eastAsia="Calibri" w:hAnsi="Calibri"/>
          <w:b w:val="false"/>
          <w:bCs w:val="false"/>
          <w:i w:val="false"/>
          <w:iCs w:val="false"/>
          <w:color w:val="1A1A1A"/>
          <w:sz w:val="22"/>
          <w:szCs w:val="22"/>
        </w:rPr>
        <w:t xml:space="preserve">Jerome's February report covers the engagement pulse: 81% favourable across all teams (up from 78% in October survey). Most improved: engineering (+8 points). The recovery is real.</w:t>
      </w:r>
    </w:p>
    <w:p>
      <w:pPr>
        <w:spacing w:after="140" w:before="0" w:line="320"/>
        <w:jc w:val="left"/>
      </w:pPr>
      <w:r>
        <w:rPr>
          <w:rFonts w:ascii="Calibri" w:cs="Calibri" w:eastAsia="Calibri" w:hAnsi="Calibri"/>
          <w:b w:val="false"/>
          <w:bCs w:val="false"/>
          <w:i w:val="false"/>
          <w:iCs w:val="false"/>
          <w:color w:val="1A1A1A"/>
          <w:sz w:val="22"/>
          <w:szCs w:val="22"/>
        </w:rPr>
        <w:t xml:space="preserve">Jerome's forward concern: as we exit the Q4 stabilisation period, retention risk shifts from "stress departures" to "opportunity departures" — engineers and senior people who stayed through the difficult period now becoming attractive to peer companies. Jerome will run development conversations with the senior IC layer in March.</w:t>
      </w:r>
    </w:p>
    <w:p>
      <w:pPr>
        <w:pStyle w:val="Heading2"/>
        <w:spacing w:after="160" w:before="300"/>
      </w:pPr>
      <w:r>
        <w:rPr>
          <w:rFonts w:ascii="Georgia" w:cs="Georgia" w:eastAsia="Georgia" w:hAnsi="Georgia"/>
          <w:b/>
          <w:bCs/>
          <w:color w:val="1A1A1A"/>
          <w:sz w:val="25"/>
          <w:szCs w:val="25"/>
        </w:rPr>
        <w:t xml:space="preserve">Strategic decisions in formation</w:t>
      </w:r>
    </w:p>
    <w:p>
      <w:pPr>
        <w:pStyle w:val="Heading3"/>
        <w:spacing w:after="120" w:before="220"/>
      </w:pPr>
      <w:r>
        <w:rPr>
          <w:rFonts w:ascii="Calibri" w:cs="Calibri" w:eastAsia="Calibri" w:hAnsi="Calibri"/>
          <w:b/>
          <w:bCs/>
          <w:color w:val="1A1A1A"/>
          <w:sz w:val="22"/>
          <w:szCs w:val="22"/>
        </w:rPr>
        <w:t xml:space="preserve">1. Series B advisor selection (decided in March)</w:t>
      </w:r>
    </w:p>
    <w:p>
      <w:pPr>
        <w:spacing w:after="140" w:before="0" w:line="320"/>
        <w:jc w:val="left"/>
      </w:pPr>
      <w:r>
        <w:rPr>
          <w:rFonts w:ascii="Calibri" w:cs="Calibri" w:eastAsia="Calibri" w:hAnsi="Calibri"/>
          <w:b w:val="false"/>
          <w:bCs w:val="false"/>
          <w:i w:val="false"/>
          <w:iCs w:val="false"/>
          <w:color w:val="1A1A1A"/>
          <w:sz w:val="22"/>
          <w:szCs w:val="22"/>
        </w:rPr>
        <w:t xml:space="preserve">Three advisor firms shortlisted. Decision at our March 1 meeting; engagement letter signed by mid-March. Round timing remains Q4 2026 kick-off.</w:t>
      </w:r>
    </w:p>
    <w:p>
      <w:pPr>
        <w:pStyle w:val="Heading3"/>
        <w:spacing w:after="120" w:before="220"/>
      </w:pPr>
      <w:r>
        <w:rPr>
          <w:rFonts w:ascii="Calibri" w:cs="Calibri" w:eastAsia="Calibri" w:hAnsi="Calibri"/>
          <w:b/>
          <w:bCs/>
          <w:color w:val="1A1A1A"/>
          <w:sz w:val="22"/>
          <w:szCs w:val="22"/>
        </w:rPr>
        <w:t xml:space="preserve">2. Q2 capacity allocation (decided)</w:t>
      </w:r>
    </w:p>
    <w:p>
      <w:pPr>
        <w:spacing w:after="140" w:before="0" w:line="320"/>
        <w:jc w:val="left"/>
      </w:pPr>
      <w:r>
        <w:rPr>
          <w:rFonts w:ascii="Calibri" w:cs="Calibri" w:eastAsia="Calibri" w:hAnsi="Calibri"/>
          <w:b w:val="false"/>
          <w:bCs w:val="false"/>
          <w:i w:val="false"/>
          <w:iCs w:val="false"/>
          <w:color w:val="1A1A1A"/>
          <w:sz w:val="22"/>
          <w:szCs w:val="22"/>
        </w:rPr>
        <w:t xml:space="preserve">Q2 capacity allocation has been finalised. Integration partner program: 35% of engineering capacity. Customer health and retention infrastructure: 20%. Core product platform stability: 25%. Customer-driven feature work: 20%. The deferred mid-priority Q1 items move into the customer-driven feature bucket; some will come back, some will be retired.</w:t>
      </w:r>
    </w:p>
    <w:p>
      <w:pPr>
        <w:pStyle w:val="Heading3"/>
        <w:spacing w:after="120" w:before="220"/>
      </w:pPr>
      <w:r>
        <w:rPr>
          <w:rFonts w:ascii="Calibri" w:cs="Calibri" w:eastAsia="Calibri" w:hAnsi="Calibri"/>
          <w:b/>
          <w:bCs/>
          <w:color w:val="1A1A1A"/>
          <w:sz w:val="22"/>
          <w:szCs w:val="22"/>
        </w:rPr>
        <w:t xml:space="preserve">3. Pricing review (initiated)</w:t>
      </w:r>
    </w:p>
    <w:p>
      <w:pPr>
        <w:spacing w:after="140" w:before="0" w:line="320"/>
        <w:jc w:val="left"/>
      </w:pPr>
      <w:r>
        <w:rPr>
          <w:rFonts w:ascii="Calibri" w:cs="Calibri" w:eastAsia="Calibri" w:hAnsi="Calibri"/>
          <w:b w:val="false"/>
          <w:bCs w:val="false"/>
          <w:i w:val="false"/>
          <w:iCs w:val="false"/>
          <w:color w:val="1A1A1A"/>
          <w:sz w:val="22"/>
          <w:szCs w:val="22"/>
        </w:rPr>
        <w:t xml:space="preserve">Maya and Tomás are leading a pricing structure review covering: enterprise tier pricing (last reviewed 18 months ago), per-integration pricing (currently bundled, may move to surcharge model for premium integrations), expansion seat pricing (currently same as initial seat, may move to discount tiers). Q2 implementation if the review supports changes.</w:t>
      </w:r>
    </w:p>
    <w:p>
      <w:pPr>
        <w:pStyle w:val="Heading2"/>
        <w:spacing w:after="160" w:before="300"/>
      </w:pPr>
      <w:r>
        <w:rPr>
          <w:rFonts w:ascii="Georgia" w:cs="Georgia" w:eastAsia="Georgia" w:hAnsi="Georgia"/>
          <w:b/>
          <w:bCs/>
          <w:color w:val="1A1A1A"/>
          <w:sz w:val="25"/>
          <w:szCs w:val="25"/>
        </w:rPr>
        <w:t xml:space="preserve">What I'm watching</w:t>
      </w:r>
    </w:p>
    <w:p>
      <w:pPr>
        <w:pStyle w:val="ListParagraph"/>
        <w:numPr>
          <w:ilvl w:val="0"/>
          <w:numId w:val="2"/>
        </w:numPr>
        <w:spacing w:after="90" w:line="320"/>
      </w:pPr>
      <w:r>
        <w:rPr>
          <w:rFonts w:ascii="Calibri" w:cs="Calibri" w:eastAsia="Calibri" w:hAnsi="Calibri"/>
          <w:color w:val="1A1A1A"/>
          <w:sz w:val="22"/>
          <w:szCs w:val="22"/>
        </w:rPr>
        <w:t xml:space="preserve">NRR trajectory. If March holds at 104-105%, Q2 stabilisation is plausible. If March drops below 102%, fundraise positioning becomes harder.</w:t>
      </w:r>
    </w:p>
    <w:p>
      <w:pPr>
        <w:pStyle w:val="ListParagraph"/>
        <w:numPr>
          <w:ilvl w:val="0"/>
          <w:numId w:val="2"/>
        </w:numPr>
        <w:spacing w:after="90" w:line="320"/>
      </w:pPr>
      <w:r>
        <w:rPr>
          <w:rFonts w:ascii="Calibri" w:cs="Calibri" w:eastAsia="Calibri" w:hAnsi="Calibri"/>
          <w:color w:val="1A1A1A"/>
          <w:sz w:val="22"/>
          <w:szCs w:val="22"/>
        </w:rPr>
        <w:t xml:space="preserve">MeridianTech — the largest enterprise customer signed in February. Onboarding success is the proof point we need for sales conversations going into Q2.</w:t>
      </w:r>
    </w:p>
    <w:p>
      <w:pPr>
        <w:pStyle w:val="ListParagraph"/>
        <w:numPr>
          <w:ilvl w:val="0"/>
          <w:numId w:val="2"/>
        </w:numPr>
        <w:spacing w:after="90" w:line="320"/>
      </w:pPr>
      <w:r>
        <w:rPr>
          <w:rFonts w:ascii="Calibri" w:cs="Calibri" w:eastAsia="Calibri" w:hAnsi="Calibri"/>
          <w:color w:val="1A1A1A"/>
          <w:sz w:val="22"/>
          <w:szCs w:val="22"/>
        </w:rPr>
        <w:t xml:space="preserve">Mara Chen ramp. If by end of Q1 she's at full senior contribution, engineering capacity is whole. If ramp slips, Q2 roadmap is at risk.</w:t>
      </w:r>
    </w:p>
    <w:p>
      <w:pPr>
        <w:pStyle w:val="ListParagraph"/>
        <w:numPr>
          <w:ilvl w:val="0"/>
          <w:numId w:val="2"/>
        </w:numPr>
        <w:spacing w:after="90" w:line="320"/>
      </w:pPr>
      <w:r>
        <w:rPr>
          <w:rFonts w:ascii="Calibri" w:cs="Calibri" w:eastAsia="Calibri" w:hAnsi="Calibri"/>
          <w:color w:val="1A1A1A"/>
          <w:sz w:val="22"/>
          <w:szCs w:val="22"/>
        </w:rPr>
        <w:t xml:space="preserve">Marketing messaging refresh. Without it, the integrations strategy doesn't land in the market.</w:t>
      </w:r>
    </w:p>
    <w:p>
      <w:pPr>
        <w:pStyle w:val="Heading2"/>
        <w:spacing w:after="160" w:before="300"/>
      </w:pPr>
      <w:r>
        <w:rPr>
          <w:rFonts w:ascii="Georgia" w:cs="Georgia" w:eastAsia="Georgia" w:hAnsi="Georgia"/>
          <w:b/>
          <w:bCs/>
          <w:color w:val="1A1A1A"/>
          <w:sz w:val="25"/>
          <w:szCs w:val="25"/>
        </w:rPr>
        <w:t xml:space="preserve">Asks</w:t>
      </w:r>
    </w:p>
    <w:p>
      <w:pPr>
        <w:pStyle w:val="ListParagraph"/>
        <w:numPr>
          <w:ilvl w:val="0"/>
          <w:numId w:val="2"/>
        </w:numPr>
        <w:spacing w:after="90" w:line="320"/>
      </w:pPr>
      <w:r>
        <w:rPr>
          <w:rFonts w:ascii="Calibri" w:cs="Calibri" w:eastAsia="Calibri" w:hAnsi="Calibri"/>
          <w:color w:val="1A1A1A"/>
          <w:sz w:val="22"/>
          <w:szCs w:val="22"/>
        </w:rPr>
        <w:t xml:space="preserve">Investor introductions to two Series B advisor partners I'm prioritising — names in separate email.</w:t>
      </w:r>
    </w:p>
    <w:p>
      <w:pPr>
        <w:pStyle w:val="ListParagraph"/>
        <w:numPr>
          <w:ilvl w:val="0"/>
          <w:numId w:val="2"/>
        </w:numPr>
        <w:spacing w:after="90" w:line="320"/>
      </w:pPr>
      <w:r>
        <w:rPr>
          <w:rFonts w:ascii="Calibri" w:cs="Calibri" w:eastAsia="Calibri" w:hAnsi="Calibri"/>
          <w:color w:val="1A1A1A"/>
          <w:sz w:val="22"/>
          <w:szCs w:val="22"/>
        </w:rPr>
        <w:t xml:space="preserve">Continued time in March for the integrations strategy discussions.</w:t>
      </w:r>
    </w:p>
    <w:p>
      <w:pPr>
        <w:pStyle w:val="ListParagraph"/>
        <w:numPr>
          <w:ilvl w:val="0"/>
          <w:numId w:val="2"/>
        </w:numPr>
        <w:spacing w:after="90" w:line="320"/>
      </w:pPr>
      <w:r>
        <w:rPr>
          <w:rFonts w:ascii="Calibri" w:cs="Calibri" w:eastAsia="Calibri" w:hAnsi="Calibri"/>
          <w:color w:val="1A1A1A"/>
          <w:sz w:val="22"/>
          <w:szCs w:val="22"/>
        </w:rPr>
        <w:t xml:space="preserve">Any patterns you're seeing across portfolio companies on the buying-environment trajectory.</w:t>
      </w:r>
    </w:p>
    <w:p>
      <w:pPr>
        <w:pStyle w:val="Heading2"/>
        <w:spacing w:after="160" w:before="300"/>
      </w:pPr>
      <w:r>
        <w:rPr>
          <w:rFonts w:ascii="Georgia" w:cs="Georgia" w:eastAsia="Georgia" w:hAnsi="Georgia"/>
          <w:b/>
          <w:bCs/>
          <w:color w:val="1A1A1A"/>
          <w:sz w:val="25"/>
          <w:szCs w:val="25"/>
        </w:rPr>
        <w:t xml:space="preserve">Closing</w:t>
      </w:r>
    </w:p>
    <w:p>
      <w:pPr>
        <w:spacing w:after="140" w:before="0" w:line="320"/>
        <w:jc w:val="left"/>
      </w:pPr>
      <w:r>
        <w:rPr>
          <w:rFonts w:ascii="Calibri" w:cs="Calibri" w:eastAsia="Calibri" w:hAnsi="Calibri"/>
          <w:b w:val="false"/>
          <w:bCs w:val="false"/>
          <w:i w:val="false"/>
          <w:iCs w:val="false"/>
          <w:color w:val="1A1A1A"/>
          <w:sz w:val="22"/>
          <w:szCs w:val="22"/>
        </w:rPr>
        <w:t xml:space="preserve">February was the recovery month I had been hoping for. March is the test of whether the recovery extends, and Q2 is the test of whether the integrations strategy is actually moving the needle on growth and retention. We're not safe, but we're moving in the right direction.</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Bram</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3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Monthly Consolidated Management Report — March 2026</w:t>
      </w:r>
    </w:p>
    <w:p>
      <w:pPr>
        <w:spacing w:after="240"/>
      </w:pPr>
      <w:r>
        <w:rPr>
          <w:rFonts w:ascii="Georgia" w:cs="Georgia" w:eastAsia="Georgia" w:hAnsi="Georgia"/>
          <w:i/>
          <w:iCs/>
          <w:color w:val="2B2B2A"/>
          <w:sz w:val="26"/>
          <w:szCs w:val="26"/>
        </w:rPr>
        <w:t xml:space="preserve">Submitted by Bram Mwalo (Founder &amp; CEO) to investors and leadership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March – 31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Drafted via</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AKKI Reporting Cycle from 7 reportee submissions</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Sent by</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from bram@syni.ai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sent</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 April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From Bram</w:t>
      </w:r>
    </w:p>
    <w:p>
      <w:pPr>
        <w:spacing w:after="140" w:before="0" w:line="320"/>
        <w:jc w:val="left"/>
      </w:pPr>
      <w:r>
        <w:rPr>
          <w:rFonts w:ascii="Calibri" w:cs="Calibri" w:eastAsia="Calibri" w:hAnsi="Calibri"/>
          <w:b w:val="false"/>
          <w:bCs w:val="false"/>
          <w:i w:val="false"/>
          <w:iCs w:val="false"/>
          <w:color w:val="1A1A1A"/>
          <w:sz w:val="22"/>
          <w:szCs w:val="22"/>
        </w:rPr>
        <w:t xml:space="preserve">March closed Q1 with the trajectory bending back where it mattered. The recovery is real and is broad-based: customer health continued to improve, sales conversion stabilised, engineering capacity is restored, the integrations strategy is producing operational results. We are not back to plan — Q1 will close materially below — but the structural concerns from Q4 2025 ("is this a market shift or a company-specific issue") have resolved more in the company-specific direction. We have work to do, but we know what the work is.</w:t>
      </w:r>
    </w:p>
    <w:p>
      <w:pPr>
        <w:spacing w:after="140" w:before="0" w:line="320"/>
        <w:jc w:val="left"/>
      </w:pPr>
      <w:r>
        <w:rPr>
          <w:rFonts w:ascii="Calibri" w:cs="Calibri" w:eastAsia="Calibri" w:hAnsi="Calibri"/>
          <w:b w:val="false"/>
          <w:bCs w:val="false"/>
          <w:i w:val="false"/>
          <w:iCs w:val="false"/>
          <w:color w:val="1A1A1A"/>
          <w:sz w:val="22"/>
          <w:szCs w:val="22"/>
        </w:rPr>
        <w:t xml:space="preserve">This report covers March-specific developments and lays the foundation for the Q1 performance review document I'll send next week.</w:t>
      </w:r>
    </w:p>
    <w:p>
      <w:pPr>
        <w:pStyle w:val="Heading2"/>
        <w:spacing w:after="160" w:before="300"/>
      </w:pPr>
      <w:r>
        <w:rPr>
          <w:rFonts w:ascii="Georgia" w:cs="Georgia" w:eastAsia="Georgia" w:hAnsi="Georgia"/>
          <w:b/>
          <w:bCs/>
          <w:color w:val="1A1A1A"/>
          <w:sz w:val="25"/>
          <w:szCs w:val="25"/>
        </w:rPr>
        <w:t xml:space="preserve">Financial position — 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Mar 2026</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Mar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Feb 2026</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210,000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222,000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201,000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ARR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2.52M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2.66M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2.41M</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new ARR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108,000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120,000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76,000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Customers (count)</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126</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121</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NRR (trailing 12m)</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(700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burn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100,000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+15.0%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120,000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Runway (months)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16.0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(15.8%)</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16.5</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Burn multiple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1.9x</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March was the strongest month of Q1 on the metrics that matter most. Net new ARR of $108K versus $76K in February — a 42% month-on-month acceleration. Burn multiple improved to 1.7x from 1.9x in February — capital efficiency reversing. NRR drift slowed (from -100bps month-on-month to -100bps trailing). The variances to plan remain material but the trajectory has shifted.</w:t>
      </w:r>
    </w:p>
    <w:p>
      <w:pPr>
        <w:pStyle w:val="Heading2"/>
        <w:spacing w:after="160" w:before="300"/>
      </w:pPr>
      <w:r>
        <w:rPr>
          <w:rFonts w:ascii="Georgia" w:cs="Georgia" w:eastAsia="Georgia" w:hAnsi="Georgia"/>
          <w:b/>
          <w:bCs/>
          <w:color w:val="1A1A1A"/>
          <w:sz w:val="25"/>
          <w:szCs w:val="25"/>
        </w:rPr>
        <w:t xml:space="preserve">What the team reports</w:t>
      </w:r>
    </w:p>
    <w:p>
      <w:pPr>
        <w:pStyle w:val="Heading3"/>
        <w:spacing w:after="120" w:before="220"/>
      </w:pPr>
      <w:r>
        <w:rPr>
          <w:rFonts w:ascii="Calibri" w:cs="Calibri" w:eastAsia="Calibri" w:hAnsi="Calibri"/>
          <w:b/>
          <w:bCs/>
          <w:color w:val="1A1A1A"/>
          <w:sz w:val="22"/>
          <w:szCs w:val="22"/>
        </w:rPr>
        <w:t xml:space="preserve">Engineering — Kiran and Dana</w:t>
      </w:r>
    </w:p>
    <w:p>
      <w:pPr>
        <w:spacing w:after="140" w:before="0" w:line="320"/>
        <w:jc w:val="left"/>
      </w:pPr>
      <w:r>
        <w:rPr>
          <w:rFonts w:ascii="Calibri" w:cs="Calibri" w:eastAsia="Calibri" w:hAnsi="Calibri"/>
          <w:b w:val="false"/>
          <w:bCs w:val="false"/>
          <w:i w:val="false"/>
          <w:iCs w:val="false"/>
          <w:color w:val="1A1A1A"/>
          <w:sz w:val="22"/>
          <w:szCs w:val="22"/>
        </w:rPr>
        <w:t xml:space="preserve">March was a strong engineering month. Velocity at 182 story points (up from 168 in February). Mara Chen is fully contributing — Kiran's expectation is she will be a senior IC voice in design discussions by Q2 end. P0/P1 bugs at 6 (back to baseline). Test coverage at 72%. Three integration partner releases shipped in March.</w:t>
      </w:r>
    </w:p>
    <w:p>
      <w:pPr>
        <w:spacing w:after="140" w:before="0" w:line="320"/>
        <w:jc w:val="left"/>
      </w:pPr>
      <w:r>
        <w:rPr>
          <w:rFonts w:ascii="Calibri" w:cs="Calibri" w:eastAsia="Calibri" w:hAnsi="Calibri"/>
          <w:b w:val="false"/>
          <w:bCs w:val="false"/>
          <w:i w:val="false"/>
          <w:iCs w:val="false"/>
          <w:color w:val="1A1A1A"/>
          <w:sz w:val="22"/>
          <w:szCs w:val="22"/>
        </w:rPr>
        <w:t xml:space="preserve">Kiran's strategic note: he is recommending we look at adding a Principal Engineer hire in Q3 — both for capacity and for the seniority gap that opened with the November departure. We will discuss in our Q2 planning.</w:t>
      </w:r>
    </w:p>
    <w:p>
      <w:pPr>
        <w:pStyle w:val="Heading3"/>
        <w:spacing w:after="120" w:before="220"/>
      </w:pPr>
      <w:r>
        <w:rPr>
          <w:rFonts w:ascii="Calibri" w:cs="Calibri" w:eastAsia="Calibri" w:hAnsi="Calibri"/>
          <w:b/>
          <w:bCs/>
          <w:color w:val="1A1A1A"/>
          <w:sz w:val="22"/>
          <w:szCs w:val="22"/>
        </w:rPr>
        <w:t xml:space="preserve">Product — Amara</w:t>
      </w:r>
    </w:p>
    <w:p>
      <w:pPr>
        <w:spacing w:after="140" w:before="0" w:line="320"/>
        <w:jc w:val="left"/>
      </w:pPr>
      <w:r>
        <w:rPr>
          <w:rFonts w:ascii="Calibri" w:cs="Calibri" w:eastAsia="Calibri" w:hAnsi="Calibri"/>
          <w:b w:val="false"/>
          <w:bCs w:val="false"/>
          <w:i w:val="false"/>
          <w:iCs w:val="false"/>
          <w:color w:val="1A1A1A"/>
          <w:sz w:val="22"/>
          <w:szCs w:val="22"/>
        </w:rPr>
        <w:t xml:space="preserve">Amara's March report: three deals closed in March citing integration depth as the close-driver. The strategic thesis (integrations as moat) is producing measurable commercial results. The Q1 partner program shipped: 9 integrations across the quarter, including the three flagship integrations (Salesforce, HubSpot, Slack) that were the most resource-intensive.</w:t>
      </w:r>
    </w:p>
    <w:p>
      <w:pPr>
        <w:spacing w:after="140" w:before="0" w:line="320"/>
        <w:jc w:val="left"/>
      </w:pPr>
      <w:r>
        <w:rPr>
          <w:rFonts w:ascii="Calibri" w:cs="Calibri" w:eastAsia="Calibri" w:hAnsi="Calibri"/>
          <w:b w:val="false"/>
          <w:bCs w:val="false"/>
          <w:i w:val="false"/>
          <w:iCs w:val="false"/>
          <w:color w:val="1A1A1A"/>
          <w:sz w:val="22"/>
          <w:szCs w:val="22"/>
        </w:rPr>
        <w:t xml:space="preserve">Amara's strategic concern in March: the Q2 roadmap needs a clearer story for the customer-facing AI features that we are continuing to ship within our integrations rather than as standalone positioning. She is preparing a customer-facing positioning paper for our April leadership review.</w:t>
      </w:r>
    </w:p>
    <w:p>
      <w:pPr>
        <w:pStyle w:val="Heading3"/>
        <w:spacing w:after="120" w:before="220"/>
      </w:pPr>
      <w:r>
        <w:rPr>
          <w:rFonts w:ascii="Calibri" w:cs="Calibri" w:eastAsia="Calibri" w:hAnsi="Calibri"/>
          <w:b/>
          <w:bCs/>
          <w:color w:val="1A1A1A"/>
          <w:sz w:val="22"/>
          <w:szCs w:val="22"/>
        </w:rPr>
        <w:t xml:space="preserve">Commercial — Tomás</w:t>
      </w:r>
    </w:p>
    <w:p>
      <w:pPr>
        <w:spacing w:after="140" w:before="0" w:line="320"/>
        <w:jc w:val="left"/>
      </w:pPr>
      <w:r>
        <w:rPr>
          <w:rFonts w:ascii="Calibri" w:cs="Calibri" w:eastAsia="Calibri" w:hAnsi="Calibri"/>
          <w:b w:val="false"/>
          <w:bCs w:val="false"/>
          <w:i w:val="false"/>
          <w:iCs w:val="false"/>
          <w:color w:val="1A1A1A"/>
          <w:sz w:val="22"/>
          <w:szCs w:val="22"/>
        </w:rPr>
        <w:t xml:space="preserve">Tomás reported 9 closes in March. Three were the integration-led wins flagged by Amara. The two MeridianTech expansion conversations from February have advanced — both look likely to close in Q2 with material expansion. Pipeline coverage at 3.4x for Q2 entering — adequate but tight.</w:t>
      </w:r>
    </w:p>
    <w:p>
      <w:pPr>
        <w:spacing w:after="140" w:before="0" w:line="320"/>
        <w:jc w:val="left"/>
      </w:pPr>
      <w:r>
        <w:rPr>
          <w:rFonts w:ascii="Calibri" w:cs="Calibri" w:eastAsia="Calibri" w:hAnsi="Calibri"/>
          <w:b w:val="false"/>
          <w:bCs w:val="false"/>
          <w:i w:val="false"/>
          <w:iCs w:val="false"/>
          <w:color w:val="1A1A1A"/>
          <w:sz w:val="22"/>
          <w:szCs w:val="22"/>
        </w:rPr>
        <w:t xml:space="preserve">Tomás's lessons from the save process now showing up in retention numbers: of the four TechBridge-pattern accounts identified in November, two saved at expanded tiers, one (MeshConnect) churned, one (Bayfield) committed renewal. Net result: $52K of $234K targeted ARR retained — better than the worst case ($0 retained) but worse than the best case ($170K).</w:t>
      </w:r>
    </w:p>
    <w:p>
      <w:pPr>
        <w:pStyle w:val="Heading3"/>
        <w:spacing w:after="120" w:before="220"/>
      </w:pPr>
      <w:r>
        <w:rPr>
          <w:rFonts w:ascii="Calibri" w:cs="Calibri" w:eastAsia="Calibri" w:hAnsi="Calibri"/>
          <w:b/>
          <w:bCs/>
          <w:color w:val="1A1A1A"/>
          <w:sz w:val="22"/>
          <w:szCs w:val="22"/>
        </w:rPr>
        <w:t xml:space="preserve">Operations and customer success — Sade</w:t>
      </w:r>
    </w:p>
    <w:p>
      <w:pPr>
        <w:spacing w:after="140" w:before="0" w:line="320"/>
        <w:jc w:val="left"/>
      </w:pPr>
      <w:r>
        <w:rPr>
          <w:rFonts w:ascii="Calibri" w:cs="Calibri" w:eastAsia="Calibri" w:hAnsi="Calibri"/>
          <w:b w:val="false"/>
          <w:bCs w:val="false"/>
          <w:i w:val="false"/>
          <w:iCs w:val="false"/>
          <w:color w:val="1A1A1A"/>
          <w:sz w:val="22"/>
          <w:szCs w:val="22"/>
        </w:rPr>
        <w:t xml:space="preserve">Sade's March report shows continued recovery. Customer health red zone at 12 (from 14 at end of February). CSAT at 87%. First response time at 3.9 hours. The operational normalisation is broad-based.</w:t>
      </w:r>
    </w:p>
    <w:p>
      <w:pPr>
        <w:spacing w:after="140" w:before="0" w:line="320"/>
        <w:jc w:val="left"/>
      </w:pPr>
      <w:r>
        <w:rPr>
          <w:rFonts w:ascii="Calibri" w:cs="Calibri" w:eastAsia="Calibri" w:hAnsi="Calibri"/>
          <w:b w:val="false"/>
          <w:bCs w:val="false"/>
          <w:i w:val="false"/>
          <w:iCs w:val="false"/>
          <w:color w:val="1A1A1A"/>
          <w:sz w:val="22"/>
          <w:szCs w:val="22"/>
        </w:rPr>
        <w:t xml:space="preserve">Sade's most strategic input in March: she is initiating a customer health predictive program — early-warning signals more granular than the existing red/amber/green system, designed to identify TechBridge-pattern accounts 60-90 days before churn rather than 30 days as in our current setup. Q2 implementation.</w:t>
      </w:r>
    </w:p>
    <w:p>
      <w:pPr>
        <w:pStyle w:val="Heading3"/>
        <w:spacing w:after="120" w:before="220"/>
      </w:pPr>
      <w:r>
        <w:rPr>
          <w:rFonts w:ascii="Calibri" w:cs="Calibri" w:eastAsia="Calibri" w:hAnsi="Calibri"/>
          <w:b/>
          <w:bCs/>
          <w:color w:val="1A1A1A"/>
          <w:sz w:val="22"/>
          <w:szCs w:val="22"/>
        </w:rPr>
        <w:t xml:space="preserve">Finance — Maya</w:t>
      </w:r>
    </w:p>
    <w:p>
      <w:pPr>
        <w:spacing w:after="140" w:before="0" w:line="320"/>
        <w:jc w:val="left"/>
      </w:pPr>
      <w:r>
        <w:rPr>
          <w:rFonts w:ascii="Calibri" w:cs="Calibri" w:eastAsia="Calibri" w:hAnsi="Calibri"/>
          <w:b w:val="false"/>
          <w:bCs w:val="false"/>
          <w:i w:val="false"/>
          <w:iCs w:val="false"/>
          <w:color w:val="1A1A1A"/>
          <w:sz w:val="22"/>
          <w:szCs w:val="22"/>
        </w:rPr>
        <w:t xml:space="preserve">Maya's March report: advisor selection complete. We have engaged FirstMark as Series B lead advisor. Engagement letter signed March 19. The advisor work program: data room construction April-May; pre-marketing conversations June-July; round kick-off October.</w:t>
      </w:r>
    </w:p>
    <w:p>
      <w:pPr>
        <w:spacing w:after="140" w:before="0" w:line="320"/>
        <w:jc w:val="left"/>
      </w:pPr>
      <w:r>
        <w:rPr>
          <w:rFonts w:ascii="Calibri" w:cs="Calibri" w:eastAsia="Calibri" w:hAnsi="Calibri"/>
          <w:b w:val="false"/>
          <w:bCs w:val="false"/>
          <w:i w:val="false"/>
          <w:iCs w:val="false"/>
          <w:color w:val="1A1A1A"/>
          <w:sz w:val="22"/>
          <w:szCs w:val="22"/>
        </w:rPr>
        <w:t xml:space="preserve">Maya's burn multiple commentary: the improvement to 1.7x in March is encouraging but the trailing 12-month metric is what investors will see. That metric will average to approximately 1.85x for the period — still on the high end of acceptable for our stage but not a structural concern.</w:t>
      </w:r>
    </w:p>
    <w:p>
      <w:pPr>
        <w:spacing w:after="140" w:before="0" w:line="320"/>
        <w:jc w:val="left"/>
      </w:pPr>
      <w:r>
        <w:rPr>
          <w:rFonts w:ascii="Calibri" w:cs="Calibri" w:eastAsia="Calibri" w:hAnsi="Calibri"/>
          <w:b w:val="false"/>
          <w:bCs w:val="false"/>
          <w:i w:val="false"/>
          <w:iCs w:val="false"/>
          <w:color w:val="1A1A1A"/>
          <w:sz w:val="22"/>
          <w:szCs w:val="22"/>
        </w:rPr>
        <w:t xml:space="preserve">Maya's pricing review: enterprise tier review complete; recommendation is a 12% price increase effective Q2 for new customers, grandfather pricing for existing. Per-integration pricing review in progress; expected April recommendation.</w:t>
      </w:r>
    </w:p>
    <w:p>
      <w:pPr>
        <w:pStyle w:val="Heading3"/>
        <w:spacing w:after="120" w:before="220"/>
      </w:pPr>
      <w:r>
        <w:rPr>
          <w:rFonts w:ascii="Calibri" w:cs="Calibri" w:eastAsia="Calibri" w:hAnsi="Calibri"/>
          <w:b/>
          <w:bCs/>
          <w:color w:val="1A1A1A"/>
          <w:sz w:val="22"/>
          <w:szCs w:val="22"/>
        </w:rPr>
        <w:t xml:space="preserve">People — Jerome</w:t>
      </w:r>
    </w:p>
    <w:p>
      <w:pPr>
        <w:spacing w:after="140" w:before="0" w:line="320"/>
        <w:jc w:val="left"/>
      </w:pPr>
      <w:r>
        <w:rPr>
          <w:rFonts w:ascii="Calibri" w:cs="Calibri" w:eastAsia="Calibri" w:hAnsi="Calibri"/>
          <w:b w:val="false"/>
          <w:bCs w:val="false"/>
          <w:i w:val="false"/>
          <w:iCs w:val="false"/>
          <w:color w:val="1A1A1A"/>
          <w:sz w:val="22"/>
          <w:szCs w:val="22"/>
        </w:rPr>
        <w:t xml:space="preserve">Jerome's March report covers the development conversations he committed to in February. Two senior IC contributors had explicit conversations about career trajectory; both have committed to staying through the next 12-18 months with structured development paths.</w:t>
      </w:r>
    </w:p>
    <w:p>
      <w:pPr>
        <w:spacing w:after="140" w:before="0" w:line="320"/>
        <w:jc w:val="left"/>
      </w:pPr>
      <w:r>
        <w:rPr>
          <w:rFonts w:ascii="Calibri" w:cs="Calibri" w:eastAsia="Calibri" w:hAnsi="Calibri"/>
          <w:b w:val="false"/>
          <w:bCs w:val="false"/>
          <w:i w:val="false"/>
          <w:iCs w:val="false"/>
          <w:color w:val="1A1A1A"/>
          <w:sz w:val="22"/>
          <w:szCs w:val="22"/>
        </w:rPr>
        <w:t xml:space="preserve">Jerome's Q1 close: 18 → 25 people. 4 hires, 1 departure (well-managed), 0 unplanned departures across Q1. Engagement healthy. Q1 pulse: 81% favourable.</w:t>
      </w:r>
    </w:p>
    <w:p>
      <w:pPr>
        <w:pStyle w:val="Heading2"/>
        <w:spacing w:after="160" w:before="300"/>
      </w:pPr>
      <w:r>
        <w:rPr>
          <w:rFonts w:ascii="Georgia" w:cs="Georgia" w:eastAsia="Georgia" w:hAnsi="Georgia"/>
          <w:b/>
          <w:bCs/>
          <w:color w:val="1A1A1A"/>
          <w:sz w:val="25"/>
          <w:szCs w:val="25"/>
        </w:rPr>
        <w:t xml:space="preserve">March-specific decisions</w:t>
      </w:r>
    </w:p>
    <w:p>
      <w:pPr>
        <w:pStyle w:val="Heading3"/>
        <w:spacing w:after="120" w:before="220"/>
      </w:pPr>
      <w:r>
        <w:rPr>
          <w:rFonts w:ascii="Calibri" w:cs="Calibri" w:eastAsia="Calibri" w:hAnsi="Calibri"/>
          <w:b/>
          <w:bCs/>
          <w:color w:val="1A1A1A"/>
          <w:sz w:val="22"/>
          <w:szCs w:val="22"/>
        </w:rPr>
        <w:t xml:space="preserve">1. Series B lead advisor (decided)</w:t>
      </w:r>
    </w:p>
    <w:p>
      <w:pPr>
        <w:spacing w:after="140" w:before="0" w:line="320"/>
        <w:jc w:val="left"/>
      </w:pPr>
      <w:r>
        <w:rPr>
          <w:rFonts w:ascii="Calibri" w:cs="Calibri" w:eastAsia="Calibri" w:hAnsi="Calibri"/>
          <w:b w:val="false"/>
          <w:bCs w:val="false"/>
          <w:i w:val="false"/>
          <w:iCs w:val="false"/>
          <w:color w:val="1A1A1A"/>
          <w:sz w:val="22"/>
          <w:szCs w:val="22"/>
        </w:rPr>
        <w:t xml:space="preserve">FirstMark engaged as lead Series B advisor. Engagement letter signed March 19. The choice was driven by their successful track record on Series B raises in our segment and by the partner relationship with Sarah Mensah, who has worked with founders in similar trajectories.</w:t>
      </w:r>
    </w:p>
    <w:p>
      <w:pPr>
        <w:pStyle w:val="Heading3"/>
        <w:spacing w:after="120" w:before="220"/>
      </w:pPr>
      <w:r>
        <w:rPr>
          <w:rFonts w:ascii="Calibri" w:cs="Calibri" w:eastAsia="Calibri" w:hAnsi="Calibri"/>
          <w:b/>
          <w:bCs/>
          <w:color w:val="1A1A1A"/>
          <w:sz w:val="22"/>
          <w:szCs w:val="22"/>
        </w:rPr>
        <w:t xml:space="preserve">2. Pricing changes (in progress)</w:t>
      </w:r>
    </w:p>
    <w:p>
      <w:pPr>
        <w:spacing w:after="140" w:before="0" w:line="320"/>
        <w:jc w:val="left"/>
      </w:pPr>
      <w:r>
        <w:rPr>
          <w:rFonts w:ascii="Calibri" w:cs="Calibri" w:eastAsia="Calibri" w:hAnsi="Calibri"/>
          <w:b w:val="false"/>
          <w:bCs w:val="false"/>
          <w:i w:val="false"/>
          <w:iCs w:val="false"/>
          <w:color w:val="1A1A1A"/>
          <w:sz w:val="22"/>
          <w:szCs w:val="22"/>
        </w:rPr>
        <w:t xml:space="preserve">Enterprise tier price increase of 12% effective Q2 for new customers. Existing customers grandfathered. Per-integration pricing review continues; April recommendation.</w:t>
      </w:r>
    </w:p>
    <w:p>
      <w:pPr>
        <w:pStyle w:val="Heading3"/>
        <w:spacing w:after="120" w:before="220"/>
      </w:pPr>
      <w:r>
        <w:rPr>
          <w:rFonts w:ascii="Calibri" w:cs="Calibri" w:eastAsia="Calibri" w:hAnsi="Calibri"/>
          <w:b/>
          <w:bCs/>
          <w:color w:val="1A1A1A"/>
          <w:sz w:val="22"/>
          <w:szCs w:val="22"/>
        </w:rPr>
        <w:t xml:space="preserve">3. Q2 capacity (locked)</w:t>
      </w:r>
    </w:p>
    <w:p>
      <w:pPr>
        <w:spacing w:after="140" w:before="0" w:line="320"/>
        <w:jc w:val="left"/>
      </w:pPr>
      <w:r>
        <w:rPr>
          <w:rFonts w:ascii="Calibri" w:cs="Calibri" w:eastAsia="Calibri" w:hAnsi="Calibri"/>
          <w:b w:val="false"/>
          <w:bCs w:val="false"/>
          <w:i w:val="false"/>
          <w:iCs w:val="false"/>
          <w:color w:val="1A1A1A"/>
          <w:sz w:val="22"/>
          <w:szCs w:val="22"/>
        </w:rPr>
        <w:t xml:space="preserve">Q2 capacity allocation locked. Integration partner program continues to receive 35% of engineering capacity. Customer health predictive program is the new investment area, taking 10% of capacity that was previously customer-driven feature work.</w:t>
      </w:r>
    </w:p>
    <w:p>
      <w:pPr>
        <w:pStyle w:val="Heading2"/>
        <w:spacing w:after="160" w:before="300"/>
      </w:pPr>
      <w:r>
        <w:rPr>
          <w:rFonts w:ascii="Georgia" w:cs="Georgia" w:eastAsia="Georgia" w:hAnsi="Georgia"/>
          <w:b/>
          <w:bCs/>
          <w:color w:val="1A1A1A"/>
          <w:sz w:val="25"/>
          <w:szCs w:val="25"/>
        </w:rPr>
        <w:t xml:space="preserve">Q1 close — the brief view</w:t>
      </w:r>
    </w:p>
    <w:p>
      <w:pPr>
        <w:spacing w:after="140" w:before="0" w:line="320"/>
        <w:jc w:val="left"/>
      </w:pPr>
      <w:r>
        <w:rPr>
          <w:rFonts w:ascii="Calibri" w:cs="Calibri" w:eastAsia="Calibri" w:hAnsi="Calibri"/>
          <w:b w:val="false"/>
          <w:bCs w:val="false"/>
          <w:i w:val="false"/>
          <w:iCs w:val="false"/>
          <w:color w:val="1A1A1A"/>
          <w:sz w:val="22"/>
          <w:szCs w:val="22"/>
        </w:rPr>
        <w:t xml:space="preserve">Q1 will close at $2.52M ARR, $108K monthly net new ARR average, NRR at 103-104% trailing twelve months. Below plan but trajectory bent back in March. The Q1 performance review document next week covers the strategic implications in depth.</w:t>
      </w:r>
    </w:p>
    <w:p>
      <w:pPr>
        <w:pStyle w:val="Heading2"/>
        <w:spacing w:after="160" w:before="300"/>
      </w:pPr>
      <w:r>
        <w:rPr>
          <w:rFonts w:ascii="Georgia" w:cs="Georgia" w:eastAsia="Georgia" w:hAnsi="Georgia"/>
          <w:b/>
          <w:bCs/>
          <w:color w:val="1A1A1A"/>
          <w:sz w:val="25"/>
          <w:szCs w:val="25"/>
        </w:rPr>
        <w:t xml:space="preserve">What I'm watching</w:t>
      </w:r>
    </w:p>
    <w:p>
      <w:pPr>
        <w:pStyle w:val="ListParagraph"/>
        <w:numPr>
          <w:ilvl w:val="0"/>
          <w:numId w:val="2"/>
        </w:numPr>
        <w:spacing w:after="90" w:line="320"/>
      </w:pPr>
      <w:r>
        <w:rPr>
          <w:rFonts w:ascii="Calibri" w:cs="Calibri" w:eastAsia="Calibri" w:hAnsi="Calibri"/>
          <w:color w:val="1A1A1A"/>
          <w:sz w:val="22"/>
          <w:szCs w:val="22"/>
        </w:rPr>
        <w:t xml:space="preserve">Q2 NRR — the most consequential metric for the round narrative.</w:t>
      </w:r>
    </w:p>
    <w:p>
      <w:pPr>
        <w:pStyle w:val="ListParagraph"/>
        <w:numPr>
          <w:ilvl w:val="0"/>
          <w:numId w:val="2"/>
        </w:numPr>
        <w:spacing w:after="90" w:line="320"/>
      </w:pPr>
      <w:r>
        <w:rPr>
          <w:rFonts w:ascii="Calibri" w:cs="Calibri" w:eastAsia="Calibri" w:hAnsi="Calibri"/>
          <w:color w:val="1A1A1A"/>
          <w:sz w:val="22"/>
          <w:szCs w:val="22"/>
        </w:rPr>
        <w:t xml:space="preserve">Pipeline conversion in Q2 — does the March improvement extend?</w:t>
      </w:r>
    </w:p>
    <w:p>
      <w:pPr>
        <w:pStyle w:val="ListParagraph"/>
        <w:numPr>
          <w:ilvl w:val="0"/>
          <w:numId w:val="2"/>
        </w:numPr>
        <w:spacing w:after="90" w:line="320"/>
      </w:pPr>
      <w:r>
        <w:rPr>
          <w:rFonts w:ascii="Calibri" w:cs="Calibri" w:eastAsia="Calibri" w:hAnsi="Calibri"/>
          <w:color w:val="1A1A1A"/>
          <w:sz w:val="22"/>
          <w:szCs w:val="22"/>
        </w:rPr>
        <w:t xml:space="preserve">Mara Chen's continued ramp — full senior contribution by Q2 end is the engineering plan.</w:t>
      </w:r>
    </w:p>
    <w:p>
      <w:pPr>
        <w:pStyle w:val="ListParagraph"/>
        <w:numPr>
          <w:ilvl w:val="0"/>
          <w:numId w:val="2"/>
        </w:numPr>
        <w:spacing w:after="90" w:line="320"/>
      </w:pPr>
      <w:r>
        <w:rPr>
          <w:rFonts w:ascii="Calibri" w:cs="Calibri" w:eastAsia="Calibri" w:hAnsi="Calibri"/>
          <w:color w:val="1A1A1A"/>
          <w:sz w:val="22"/>
          <w:szCs w:val="22"/>
        </w:rPr>
        <w:t xml:space="preserve">Customer health predictive program — does the new system identify accounts 60-90 days early as designed?</w:t>
      </w:r>
    </w:p>
    <w:p>
      <w:pPr>
        <w:pStyle w:val="Heading2"/>
        <w:spacing w:after="160" w:before="300"/>
      </w:pPr>
      <w:r>
        <w:rPr>
          <w:rFonts w:ascii="Georgia" w:cs="Georgia" w:eastAsia="Georgia" w:hAnsi="Georgia"/>
          <w:b/>
          <w:bCs/>
          <w:color w:val="1A1A1A"/>
          <w:sz w:val="25"/>
          <w:szCs w:val="25"/>
        </w:rPr>
        <w:t xml:space="preserve">Asks</w:t>
      </w:r>
    </w:p>
    <w:p>
      <w:pPr>
        <w:pStyle w:val="ListParagraph"/>
        <w:numPr>
          <w:ilvl w:val="0"/>
          <w:numId w:val="2"/>
        </w:numPr>
        <w:spacing w:after="90" w:line="320"/>
      </w:pPr>
      <w:r>
        <w:rPr>
          <w:rFonts w:ascii="Calibri" w:cs="Calibri" w:eastAsia="Calibri" w:hAnsi="Calibri"/>
          <w:color w:val="1A1A1A"/>
          <w:sz w:val="22"/>
          <w:szCs w:val="22"/>
        </w:rPr>
        <w:t xml:space="preserve">Time on calendar with each of you in early-to-mid April for the Q1 review conversation.</w:t>
      </w:r>
    </w:p>
    <w:p>
      <w:pPr>
        <w:pStyle w:val="ListParagraph"/>
        <w:numPr>
          <w:ilvl w:val="0"/>
          <w:numId w:val="2"/>
        </w:numPr>
        <w:spacing w:after="90" w:line="320"/>
      </w:pPr>
      <w:r>
        <w:rPr>
          <w:rFonts w:ascii="Calibri" w:cs="Calibri" w:eastAsia="Calibri" w:hAnsi="Calibri"/>
          <w:color w:val="1A1A1A"/>
          <w:sz w:val="22"/>
          <w:szCs w:val="22"/>
        </w:rPr>
        <w:t xml:space="preserve">Introductions to two specific investor partners FirstMark has flagged for early conversations.</w:t>
      </w:r>
    </w:p>
    <w:p>
      <w:pPr>
        <w:pStyle w:val="ListParagraph"/>
        <w:numPr>
          <w:ilvl w:val="0"/>
          <w:numId w:val="2"/>
        </w:numPr>
        <w:spacing w:after="90" w:line="320"/>
      </w:pPr>
      <w:r>
        <w:rPr>
          <w:rFonts w:ascii="Calibri" w:cs="Calibri" w:eastAsia="Calibri" w:hAnsi="Calibri"/>
          <w:color w:val="1A1A1A"/>
          <w:sz w:val="22"/>
          <w:szCs w:val="22"/>
        </w:rPr>
        <w:t xml:space="preserve">Continued thinking partnership on the integrations-vs-AI positioning as the market evolves.</w:t>
      </w:r>
    </w:p>
    <w:p>
      <w:pPr>
        <w:pStyle w:val="Heading2"/>
        <w:spacing w:after="160" w:before="300"/>
      </w:pPr>
      <w:r>
        <w:rPr>
          <w:rFonts w:ascii="Georgia" w:cs="Georgia" w:eastAsia="Georgia" w:hAnsi="Georgia"/>
          <w:b/>
          <w:bCs/>
          <w:color w:val="1A1A1A"/>
          <w:sz w:val="25"/>
          <w:szCs w:val="25"/>
        </w:rPr>
        <w:t xml:space="preserve">Closing</w:t>
      </w:r>
    </w:p>
    <w:p>
      <w:pPr>
        <w:spacing w:after="140" w:before="0" w:line="320"/>
        <w:jc w:val="left"/>
      </w:pPr>
      <w:r>
        <w:rPr>
          <w:rFonts w:ascii="Calibri" w:cs="Calibri" w:eastAsia="Calibri" w:hAnsi="Calibri"/>
          <w:b w:val="false"/>
          <w:bCs w:val="false"/>
          <w:i w:val="false"/>
          <w:iCs w:val="false"/>
          <w:color w:val="1A1A1A"/>
          <w:sz w:val="22"/>
          <w:szCs w:val="22"/>
        </w:rPr>
        <w:t xml:space="preserve">Q1 ends with the trajectory restored. Not back to plan, but moving in the right direction. The work for Q2 is sharper now: extend the recovery, prove the integrations strategy at scale, position the round narrative through operational performance rather than story.</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Bram</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4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Q1 2026 Performance Review</w:t>
      </w:r>
    </w:p>
    <w:p>
      <w:pPr>
        <w:spacing w:after="240"/>
      </w:pPr>
      <w:r>
        <w:rPr>
          <w:rFonts w:ascii="Georgia" w:cs="Georgia" w:eastAsia="Georgia" w:hAnsi="Georgia"/>
          <w:i/>
          <w:iCs/>
          <w:color w:val="2B2B2A"/>
          <w:sz w:val="26"/>
          <w:szCs w:val="26"/>
        </w:rPr>
        <w:t xml:space="preserve">Strategic synthesis — what Q1 means and what Q2 must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Author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Founder &amp; CEO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Audience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Series A investors, leadership team, advisors</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 April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Companion documents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Three Q1 monthly consolidated reports</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Purpose</w:t>
      </w:r>
    </w:p>
    <w:p>
      <w:pPr>
        <w:spacing w:after="140" w:before="0" w:line="320"/>
        <w:jc w:val="left"/>
      </w:pPr>
      <w:r>
        <w:rPr>
          <w:rFonts w:ascii="Calibri" w:cs="Calibri" w:eastAsia="Calibri" w:hAnsi="Calibri"/>
          <w:b w:val="false"/>
          <w:bCs w:val="false"/>
          <w:i w:val="false"/>
          <w:iCs w:val="false"/>
          <w:color w:val="1A1A1A"/>
          <w:sz w:val="22"/>
          <w:szCs w:val="22"/>
        </w:rPr>
        <w:t xml:space="preserve">The three monthly consolidated reports cover what happened. This document covers what it means and what we will do about it. Q1 was the most important quarter Syni.ai has had — the quarter where the trajectory from Q4 2025 either continued or bent back, where the strategic decision on integrations-vs-AI was made, where the team capacity recovered. The trajectory bent back; the decision was made; the team is intact. This document explains why I think Q1 was a strategic success despite being a financial miss, and what Q2 must demonstrate.</w:t>
      </w:r>
    </w:p>
    <w:p>
      <w:pPr>
        <w:pStyle w:val="Heading2"/>
        <w:spacing w:after="160" w:before="300"/>
      </w:pPr>
      <w:r>
        <w:rPr>
          <w:rFonts w:ascii="Georgia" w:cs="Georgia" w:eastAsia="Georgia" w:hAnsi="Georgia"/>
          <w:b/>
          <w:bCs/>
          <w:color w:val="1A1A1A"/>
          <w:sz w:val="25"/>
          <w:szCs w:val="25"/>
        </w:rPr>
        <w:t xml:space="preserve">1. The Q1 financial position in honest terms</w:t>
      </w:r>
    </w:p>
    <w:p>
      <w:pPr>
        <w:spacing w:after="140" w:before="0" w:line="320"/>
        <w:jc w:val="left"/>
      </w:pPr>
      <w:r>
        <w:rPr>
          <w:rFonts w:ascii="Calibri" w:cs="Calibri" w:eastAsia="Calibri" w:hAnsi="Calibri"/>
          <w:b w:val="false"/>
          <w:bCs w:val="false"/>
          <w:i w:val="false"/>
          <w:iCs w:val="false"/>
          <w:color w:val="1A1A1A"/>
          <w:sz w:val="22"/>
          <w:szCs w:val="22"/>
        </w:rPr>
        <w:t xml:space="preserve">Q1 ARR closed at $2.52M against plan of $2.66M — a 5% miss. Q1 net new ARR averaged $90K monthly against plan of $118K — a 24% miss on the growth metric. NRR closed at 103% trailing twelve months against plan of 110% — 700 basis points below. Burn multiple averaged 1.85x against plan of 1.5x. Runway closed at 16 months against plan of 19.</w:t>
      </w:r>
    </w:p>
    <w:p>
      <w:pPr>
        <w:spacing w:after="140" w:before="0" w:line="320"/>
        <w:jc w:val="left"/>
      </w:pPr>
      <w:r>
        <w:rPr>
          <w:rFonts w:ascii="Calibri" w:cs="Calibri" w:eastAsia="Calibri" w:hAnsi="Calibri"/>
          <w:b w:val="false"/>
          <w:bCs w:val="false"/>
          <w:i w:val="false"/>
          <w:iCs w:val="false"/>
          <w:color w:val="1A1A1A"/>
          <w:sz w:val="22"/>
          <w:szCs w:val="22"/>
        </w:rPr>
        <w:t xml:space="preserve">Each of these misses is real. The framing matters. Q1 inherited two structural drags from Q4 2025 — the TechBridge churn that flowed through November, and the broader sales-cycle elongation that began in October — and the question for Q1 was whether these were the leading edge of a structural shift or a localised correction. Q1 demonstrated that they were a localised correction: the trajectory bent back in March, customer health red zone declined, sales conversion stabilised, integrations strategy produced operational results.</w:t>
      </w:r>
    </w:p>
    <w:p>
      <w:pPr>
        <w:pStyle w:val="Heading2"/>
        <w:spacing w:after="160" w:before="300"/>
      </w:pPr>
      <w:r>
        <w:rPr>
          <w:rFonts w:ascii="Georgia" w:cs="Georgia" w:eastAsia="Georgia" w:hAnsi="Georgia"/>
          <w:b/>
          <w:bCs/>
          <w:color w:val="1A1A1A"/>
          <w:sz w:val="25"/>
          <w:szCs w:val="25"/>
        </w:rPr>
        <w:t xml:space="preserve">2. What changed and why it matters</w:t>
      </w:r>
    </w:p>
    <w:p>
      <w:pPr>
        <w:pStyle w:val="Heading3"/>
        <w:spacing w:after="120" w:before="220"/>
      </w:pPr>
      <w:r>
        <w:rPr>
          <w:rFonts w:ascii="Calibri" w:cs="Calibri" w:eastAsia="Calibri" w:hAnsi="Calibri"/>
          <w:b/>
          <w:bCs/>
          <w:color w:val="1A1A1A"/>
          <w:sz w:val="22"/>
          <w:szCs w:val="22"/>
        </w:rPr>
        <w:t xml:space="preserve">2.1 The customer health work</w:t>
      </w:r>
    </w:p>
    <w:p>
      <w:pPr>
        <w:spacing w:after="140" w:before="0" w:line="320"/>
        <w:jc w:val="left"/>
      </w:pPr>
      <w:r>
        <w:rPr>
          <w:rFonts w:ascii="Calibri" w:cs="Calibri" w:eastAsia="Calibri" w:hAnsi="Calibri"/>
          <w:b w:val="false"/>
          <w:bCs w:val="false"/>
          <w:i w:val="false"/>
          <w:iCs w:val="false"/>
          <w:color w:val="1A1A1A"/>
          <w:sz w:val="22"/>
          <w:szCs w:val="22"/>
        </w:rPr>
        <w:t xml:space="preserve">The most consequential operational work of Q1 was the customer health save process Sade and Tomás ran on the four TechBridge-pattern accounts identified in November. The outcome: $52K of $234K targeted ARR retained. Below the best case ($170K) but materially above the worst case ($0).</w:t>
      </w:r>
    </w:p>
    <w:p>
      <w:pPr>
        <w:spacing w:after="140" w:before="0" w:line="320"/>
        <w:jc w:val="left"/>
      </w:pPr>
      <w:r>
        <w:rPr>
          <w:rFonts w:ascii="Calibri" w:cs="Calibri" w:eastAsia="Calibri" w:hAnsi="Calibri"/>
          <w:b w:val="false"/>
          <w:bCs w:val="false"/>
          <w:i w:val="false"/>
          <w:iCs w:val="false"/>
          <w:color w:val="1A1A1A"/>
          <w:sz w:val="22"/>
          <w:szCs w:val="22"/>
        </w:rPr>
        <w:t xml:space="preserve">More importantly, the process produced a methodology. The customer health predictive program Sade is initiating in Q2 — early-warning signals 60-90 days before potential churn — is the durable output. If we had this in October 2025, TechBridge would have been engaged at executive level six weeks earlier and might have been retained. Q2 builds the system.</w:t>
      </w:r>
    </w:p>
    <w:p>
      <w:pPr>
        <w:pStyle w:val="Heading3"/>
        <w:spacing w:after="120" w:before="220"/>
      </w:pPr>
      <w:r>
        <w:rPr>
          <w:rFonts w:ascii="Calibri" w:cs="Calibri" w:eastAsia="Calibri" w:hAnsi="Calibri"/>
          <w:b/>
          <w:bCs/>
          <w:color w:val="1A1A1A"/>
          <w:sz w:val="22"/>
          <w:szCs w:val="22"/>
        </w:rPr>
        <w:t xml:space="preserve">2.2 The strategic decision</w:t>
      </w:r>
    </w:p>
    <w:p>
      <w:pPr>
        <w:spacing w:after="140" w:before="0" w:line="320"/>
        <w:jc w:val="left"/>
      </w:pPr>
      <w:r>
        <w:rPr>
          <w:rFonts w:ascii="Calibri" w:cs="Calibri" w:eastAsia="Calibri" w:hAnsi="Calibri"/>
          <w:b w:val="false"/>
          <w:bCs w:val="false"/>
          <w:i w:val="false"/>
          <w:iCs w:val="false"/>
          <w:color w:val="1A1A1A"/>
          <w:sz w:val="22"/>
          <w:szCs w:val="22"/>
        </w:rPr>
        <w:t xml:space="preserve">The integrations-vs-AI decision is the most important strategic call I have made this year. The decision: we commit to integrations as the moat over the next 6 quarters; AI features remain on roadmap but are not the positioning.</w:t>
      </w:r>
    </w:p>
    <w:p>
      <w:pPr>
        <w:spacing w:after="140" w:before="0" w:line="320"/>
        <w:jc w:val="left"/>
      </w:pPr>
      <w:r>
        <w:rPr>
          <w:rFonts w:ascii="Calibri" w:cs="Calibri" w:eastAsia="Calibri" w:hAnsi="Calibri"/>
          <w:b w:val="false"/>
          <w:bCs w:val="false"/>
          <w:i w:val="false"/>
          <w:iCs w:val="false"/>
          <w:color w:val="1A1A1A"/>
          <w:sz w:val="22"/>
          <w:szCs w:val="22"/>
        </w:rPr>
        <w:t xml:space="preserve">The decision rests on three pieces of evidence: (a) cohort analysis showing customers with 3+ integrations have 96% gross retention versus 65% for 1-integration customers, consistent across all segments; (b) customer interview data through Q4 2025 showing integrations as the dominant retention driver; (c) competitive analysis showing AI is undifferentiated table-stakes in our market while integration depth is genuinely defensible.</w:t>
      </w:r>
    </w:p>
    <w:p>
      <w:pPr>
        <w:spacing w:after="140" w:before="0" w:line="320"/>
        <w:jc w:val="left"/>
      </w:pPr>
      <w:r>
        <w:rPr>
          <w:rFonts w:ascii="Calibri" w:cs="Calibri" w:eastAsia="Calibri" w:hAnsi="Calibri"/>
          <w:b w:val="false"/>
          <w:bCs w:val="false"/>
          <w:i w:val="false"/>
          <w:iCs w:val="false"/>
          <w:color w:val="1A1A1A"/>
          <w:sz w:val="22"/>
          <w:szCs w:val="22"/>
        </w:rPr>
        <w:t xml:space="preserve">The decision implications for Q1 are already visible: nine integrations shipped in Q1 (versus three in any prior quarter); three Q1 deals cited integration depth as close-driver; the engineering team's strategic clarity (which had been the principal Q4 2025 morale concern) materially improved.</w:t>
      </w:r>
    </w:p>
    <w:p>
      <w:pPr>
        <w:pStyle w:val="Heading3"/>
        <w:spacing w:after="120" w:before="220"/>
      </w:pPr>
      <w:r>
        <w:rPr>
          <w:rFonts w:ascii="Calibri" w:cs="Calibri" w:eastAsia="Calibri" w:hAnsi="Calibri"/>
          <w:b/>
          <w:bCs/>
          <w:color w:val="1A1A1A"/>
          <w:sz w:val="22"/>
          <w:szCs w:val="22"/>
        </w:rPr>
        <w:t xml:space="preserve">2.3 The team capacity recovery</w:t>
      </w:r>
    </w:p>
    <w:p>
      <w:pPr>
        <w:spacing w:after="140" w:before="0" w:line="320"/>
        <w:jc w:val="left"/>
      </w:pPr>
      <w:r>
        <w:rPr>
          <w:rFonts w:ascii="Calibri" w:cs="Calibri" w:eastAsia="Calibri" w:hAnsi="Calibri"/>
          <w:b w:val="false"/>
          <w:bCs w:val="false"/>
          <w:i w:val="false"/>
          <w:iCs w:val="false"/>
          <w:color w:val="1A1A1A"/>
          <w:sz w:val="22"/>
          <w:szCs w:val="22"/>
        </w:rPr>
        <w:t xml:space="preserve">Engineering capacity is whole. Mara Chen is contributing fully; velocity is back to baseline; bugs and quality metrics are at or near baseline. The November departure cost was real — three months of partial capacity, deferred mid-priority roadmap items — but the team is now in a stronger position than it was in October because the strategic clarity is better and the integrations work is energising.</w:t>
      </w:r>
    </w:p>
    <w:p>
      <w:pPr>
        <w:spacing w:after="140" w:before="0" w:line="320"/>
        <w:jc w:val="left"/>
      </w:pPr>
      <w:r>
        <w:rPr>
          <w:rFonts w:ascii="Calibri" w:cs="Calibri" w:eastAsia="Calibri" w:hAnsi="Calibri"/>
          <w:b w:val="false"/>
          <w:bCs w:val="false"/>
          <w:i w:val="false"/>
          <w:iCs w:val="false"/>
          <w:color w:val="1A1A1A"/>
          <w:sz w:val="22"/>
          <w:szCs w:val="22"/>
        </w:rPr>
        <w:t xml:space="preserve">Customer success capacity has expanded with the CSM addition. Operations are running below baseline service levels but recovering — CSAT at 87% in March (target 90%+), first response time at 3.9 hours (target 4.0 or below).</w:t>
      </w:r>
    </w:p>
    <w:p>
      <w:pPr>
        <w:pStyle w:val="Heading2"/>
        <w:spacing w:after="160" w:before="300"/>
      </w:pPr>
      <w:r>
        <w:rPr>
          <w:rFonts w:ascii="Georgia" w:cs="Georgia" w:eastAsia="Georgia" w:hAnsi="Georgia"/>
          <w:b/>
          <w:bCs/>
          <w:color w:val="1A1A1A"/>
          <w:sz w:val="25"/>
          <w:szCs w:val="25"/>
        </w:rPr>
        <w:t xml:space="preserve">3. The honest investor reading</w:t>
      </w:r>
    </w:p>
    <w:p>
      <w:pPr>
        <w:spacing w:after="140" w:before="0" w:line="320"/>
        <w:jc w:val="left"/>
      </w:pPr>
      <w:r>
        <w:rPr>
          <w:rFonts w:ascii="Calibri" w:cs="Calibri" w:eastAsia="Calibri" w:hAnsi="Calibri"/>
          <w:b w:val="false"/>
          <w:bCs w:val="false"/>
          <w:i w:val="false"/>
          <w:iCs w:val="false"/>
          <w:color w:val="1A1A1A"/>
          <w:sz w:val="22"/>
          <w:szCs w:val="22"/>
        </w:rPr>
        <w:t xml:space="preserve">If you are reading this report as an investor in Syni.ai, the questions you should be asking are these:</w:t>
      </w:r>
    </w:p>
    <w:p>
      <w:pPr>
        <w:pStyle w:val="ListParagraph"/>
        <w:numPr>
          <w:ilvl w:val="0"/>
          <w:numId w:val="2"/>
        </w:numPr>
        <w:spacing w:after="90" w:line="320"/>
      </w:pPr>
      <w:r>
        <w:rPr>
          <w:rFonts w:ascii="Calibri" w:cs="Calibri" w:eastAsia="Calibri" w:hAnsi="Calibri"/>
          <w:color w:val="1A1A1A"/>
          <w:sz w:val="22"/>
          <w:szCs w:val="22"/>
        </w:rPr>
        <w:t xml:space="preserve">"Is the Q1 trajectory bend a real recovery or a temporary stabilisation?" — The honest answer is we will know by mid-Q2. The March numbers are encouraging; April-May will demonstrate whether the recovery extends. The customer health predictive program coming live in Q2 is the most consequential operational variable.</w:t>
      </w:r>
    </w:p>
    <w:p>
      <w:pPr>
        <w:pStyle w:val="ListParagraph"/>
        <w:numPr>
          <w:ilvl w:val="0"/>
          <w:numId w:val="2"/>
        </w:numPr>
        <w:spacing w:after="90" w:line="320"/>
      </w:pPr>
      <w:r>
        <w:rPr>
          <w:rFonts w:ascii="Calibri" w:cs="Calibri" w:eastAsia="Calibri" w:hAnsi="Calibri"/>
          <w:color w:val="1A1A1A"/>
          <w:sz w:val="22"/>
          <w:szCs w:val="22"/>
        </w:rPr>
        <w:t xml:space="preserve">"Is the integrations strategy the right call for the market?" — I believe yes; the data supports it; the operational results are starting to show. The risk: if the market materially shifts to AI as a primary buying criterion (as opposed to a feature), our positioning is off-trend. The mitigation: AI features continue to ship within integrations; we are not abandoning AI, we are not leading with it.</w:t>
      </w:r>
    </w:p>
    <w:p>
      <w:pPr>
        <w:pStyle w:val="ListParagraph"/>
        <w:numPr>
          <w:ilvl w:val="0"/>
          <w:numId w:val="2"/>
        </w:numPr>
        <w:spacing w:after="90" w:line="320"/>
      </w:pPr>
      <w:r>
        <w:rPr>
          <w:rFonts w:ascii="Calibri" w:cs="Calibri" w:eastAsia="Calibri" w:hAnsi="Calibri"/>
          <w:color w:val="1A1A1A"/>
          <w:sz w:val="22"/>
          <w:szCs w:val="22"/>
        </w:rPr>
        <w:t xml:space="preserve">"What's the realistic Series B round position?" — At current trajectory, a $20-30M round at meaningfully higher valuation than Series A is plausible for Q4 2026 kick-off. The variables: NRR trajectory through Q2-Q3, growth metric stabilisation, the competitive narrative on integrations. If NRR holds 102%+ through Q2 and growth resumes the trajectory, the round narrative is strong.</w:t>
      </w:r>
    </w:p>
    <w:p>
      <w:pPr>
        <w:pStyle w:val="ListParagraph"/>
        <w:numPr>
          <w:ilvl w:val="0"/>
          <w:numId w:val="2"/>
        </w:numPr>
        <w:spacing w:after="90" w:line="320"/>
      </w:pPr>
      <w:r>
        <w:rPr>
          <w:rFonts w:ascii="Calibri" w:cs="Calibri" w:eastAsia="Calibri" w:hAnsi="Calibri"/>
          <w:color w:val="1A1A1A"/>
          <w:sz w:val="22"/>
          <w:szCs w:val="22"/>
        </w:rPr>
        <w:t xml:space="preserve">"What would change my mind that this isn't a recovery?" — If Q2 NRR drifts below 100%; if the customer health red zone grows again; if pipeline conversion deteriorates further; if a Q1 customer cohort fails to retain. Any of these would warrant a strategic review of the recovery thesis.</w:t>
      </w:r>
    </w:p>
    <w:p>
      <w:pPr>
        <w:pStyle w:val="Heading2"/>
        <w:spacing w:after="160" w:before="300"/>
      </w:pPr>
      <w:r>
        <w:rPr>
          <w:rFonts w:ascii="Georgia" w:cs="Georgia" w:eastAsia="Georgia" w:hAnsi="Georgia"/>
          <w:b/>
          <w:bCs/>
          <w:color w:val="1A1A1A"/>
          <w:sz w:val="25"/>
          <w:szCs w:val="25"/>
        </w:rPr>
        <w:t xml:space="preserve">4. What Q2 must do</w:t>
      </w:r>
    </w:p>
    <w:p>
      <w:pPr>
        <w:pStyle w:val="Heading3"/>
        <w:spacing w:after="120" w:before="220"/>
      </w:pPr>
      <w:r>
        <w:rPr>
          <w:rFonts w:ascii="Calibri" w:cs="Calibri" w:eastAsia="Calibri" w:hAnsi="Calibri"/>
          <w:b/>
          <w:bCs/>
          <w:color w:val="1A1A1A"/>
          <w:sz w:val="22"/>
          <w:szCs w:val="22"/>
        </w:rPr>
        <w:t xml:space="preserve">Q2 priorities (in order)</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1. Extend the recovery. </w:t>
      </w:r>
      <w:r>
        <w:rPr>
          <w:rFonts w:ascii="Calibri" w:cs="Calibri" w:eastAsia="Calibri" w:hAnsi="Calibri"/>
          <w:b w:val="false"/>
          <w:bCs w:val="false"/>
          <w:i w:val="false"/>
          <w:iCs w:val="false"/>
          <w:color w:val="1A1A1A"/>
          <w:sz w:val="22"/>
          <w:szCs w:val="22"/>
        </w:rPr>
        <w:t xml:space="preserve">March's improvement must hold and extend. The leading indicators: net new ARR sustaining at $100K+ monthly; customer health red zone declining further to 8-10 by Q2 end; pipeline conversion at 11%+ (from Q1 average 9%).</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2. Prove the integrations strategy at scale. </w:t>
      </w:r>
      <w:r>
        <w:rPr>
          <w:rFonts w:ascii="Calibri" w:cs="Calibri" w:eastAsia="Calibri" w:hAnsi="Calibri"/>
          <w:b w:val="false"/>
          <w:bCs w:val="false"/>
          <w:i w:val="false"/>
          <w:iCs w:val="false"/>
          <w:color w:val="1A1A1A"/>
          <w:sz w:val="22"/>
          <w:szCs w:val="22"/>
        </w:rPr>
        <w:t xml:space="preserve">Q1 shipped nine integrations and three integration-led wins. Q2 must produce 8-10 integration-led wins (versus three in Q1) — the strategy must move from "thesis" to "engine." The Q2 marketing messaging refresh is critical to this.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3. Build the customer health predictive program. </w:t>
      </w:r>
      <w:r>
        <w:rPr>
          <w:rFonts w:ascii="Calibri" w:cs="Calibri" w:eastAsia="Calibri" w:hAnsi="Calibri"/>
          <w:b w:val="false"/>
          <w:bCs w:val="false"/>
          <w:i w:val="false"/>
          <w:iCs w:val="false"/>
          <w:color w:val="1A1A1A"/>
          <w:sz w:val="22"/>
          <w:szCs w:val="22"/>
        </w:rPr>
        <w:t xml:space="preserve">60-90 day early warning system replacing the current 30-day red/amber/green system. Deliverable: operational by mid-Q2; first cohort of accounts identified by end of Q2.</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4. Position the Series B round through operational performance. </w:t>
      </w:r>
      <w:r>
        <w:rPr>
          <w:rFonts w:ascii="Calibri" w:cs="Calibri" w:eastAsia="Calibri" w:hAnsi="Calibri"/>
          <w:b w:val="false"/>
          <w:bCs w:val="false"/>
          <w:i w:val="false"/>
          <w:iCs w:val="false"/>
          <w:color w:val="1A1A1A"/>
          <w:sz w:val="22"/>
          <w:szCs w:val="22"/>
        </w:rPr>
        <w:t xml:space="preserve">Data room construction, pre-marketing conversations, advisor work program. The round timing is Q4 kick-off; Q2-Q3 work determines the strength of the narrative we can present in Q4.</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5. Pricing structure changes. </w:t>
      </w:r>
      <w:r>
        <w:rPr>
          <w:rFonts w:ascii="Calibri" w:cs="Calibri" w:eastAsia="Calibri" w:hAnsi="Calibri"/>
          <w:b w:val="false"/>
          <w:bCs w:val="false"/>
          <w:i w:val="false"/>
          <w:iCs w:val="false"/>
          <w:color w:val="1A1A1A"/>
          <w:sz w:val="22"/>
          <w:szCs w:val="22"/>
        </w:rPr>
        <w:t xml:space="preserve">Enterprise tier 12% increase effective Q2 for new customers. Per-integration pricing review concludes April; implementation Q2 if recommended.</w:t>
      </w:r>
    </w:p>
    <w:p>
      <w:pPr>
        <w:pStyle w:val="Heading3"/>
        <w:spacing w:after="120" w:before="220"/>
      </w:pPr>
      <w:r>
        <w:rPr>
          <w:rFonts w:ascii="Calibri" w:cs="Calibri" w:eastAsia="Calibri" w:hAnsi="Calibri"/>
          <w:b/>
          <w:bCs/>
          <w:color w:val="1A1A1A"/>
          <w:sz w:val="22"/>
          <w:szCs w:val="22"/>
        </w:rPr>
        <w:t xml:space="preserve">What I will not do in Q2</w:t>
      </w:r>
    </w:p>
    <w:p>
      <w:pPr>
        <w:pStyle w:val="ListParagraph"/>
        <w:numPr>
          <w:ilvl w:val="0"/>
          <w:numId w:val="2"/>
        </w:numPr>
        <w:spacing w:after="90" w:line="320"/>
      </w:pPr>
      <w:r>
        <w:rPr>
          <w:rFonts w:ascii="Calibri" w:cs="Calibri" w:eastAsia="Calibri" w:hAnsi="Calibri"/>
          <w:color w:val="1A1A1A"/>
          <w:sz w:val="22"/>
          <w:szCs w:val="22"/>
        </w:rPr>
        <w:t xml:space="preserve">Add new strategic vectors. Q2 is the quarter we prove the existing strategy works at scale; not the quarter we test new ones.</w:t>
      </w:r>
    </w:p>
    <w:p>
      <w:pPr>
        <w:pStyle w:val="ListParagraph"/>
        <w:numPr>
          <w:ilvl w:val="0"/>
          <w:numId w:val="2"/>
        </w:numPr>
        <w:spacing w:after="90" w:line="320"/>
      </w:pPr>
      <w:r>
        <w:rPr>
          <w:rFonts w:ascii="Calibri" w:cs="Calibri" w:eastAsia="Calibri" w:hAnsi="Calibri"/>
          <w:color w:val="1A1A1A"/>
          <w:sz w:val="22"/>
          <w:szCs w:val="22"/>
        </w:rPr>
        <w:t xml:space="preserve">Accelerate hiring beyond plan. Headcount adds in Q2 are the planned hires only; capacity build comes through productivity, not bodies.</w:t>
      </w:r>
    </w:p>
    <w:p>
      <w:pPr>
        <w:pStyle w:val="ListParagraph"/>
        <w:numPr>
          <w:ilvl w:val="0"/>
          <w:numId w:val="2"/>
        </w:numPr>
        <w:spacing w:after="90" w:line="320"/>
      </w:pPr>
      <w:r>
        <w:rPr>
          <w:rFonts w:ascii="Calibri" w:cs="Calibri" w:eastAsia="Calibri" w:hAnsi="Calibri"/>
          <w:color w:val="1A1A1A"/>
          <w:sz w:val="22"/>
          <w:szCs w:val="22"/>
        </w:rPr>
        <w:t xml:space="preserve">Pursue the Q1 deferred mid-priority roadmap items unless customer-pulled. Some will retire; some will be re-evaluated; the deferral was strategic and should hold.</w:t>
      </w:r>
    </w:p>
    <w:p>
      <w:pPr>
        <w:pStyle w:val="Heading2"/>
        <w:spacing w:after="160" w:before="300"/>
      </w:pPr>
      <w:r>
        <w:rPr>
          <w:rFonts w:ascii="Georgia" w:cs="Georgia" w:eastAsia="Georgia" w:hAnsi="Georgia"/>
          <w:b/>
          <w:bCs/>
          <w:color w:val="1A1A1A"/>
          <w:sz w:val="25"/>
          <w:szCs w:val="25"/>
        </w:rPr>
        <w:t xml:space="preserve">5. The strategic position at Q1 end</w:t>
      </w:r>
    </w:p>
    <w:p>
      <w:pPr>
        <w:spacing w:after="140" w:before="0" w:line="320"/>
        <w:jc w:val="left"/>
      </w:pPr>
      <w:r>
        <w:rPr>
          <w:rFonts w:ascii="Calibri" w:cs="Calibri" w:eastAsia="Calibri" w:hAnsi="Calibri"/>
          <w:b w:val="false"/>
          <w:bCs w:val="false"/>
          <w:i w:val="false"/>
          <w:iCs w:val="false"/>
          <w:color w:val="1A1A1A"/>
          <w:sz w:val="22"/>
          <w:szCs w:val="22"/>
        </w:rPr>
        <w:t xml:space="preserve">Syni.ai exits Q1 as a more strategically clear company than it entered. The integrations-vs-AI decision is made. The team capacity is restored. The customer health methodology is forming. The Series B round positioning has begun. The numbers are below plan but the trajectory is restored and the operational narrative is sharpening.</w:t>
      </w:r>
    </w:p>
    <w:p>
      <w:pPr>
        <w:spacing w:after="140" w:before="0" w:line="320"/>
        <w:jc w:val="left"/>
      </w:pPr>
      <w:r>
        <w:rPr>
          <w:rFonts w:ascii="Calibri" w:cs="Calibri" w:eastAsia="Calibri" w:hAnsi="Calibri"/>
          <w:b w:val="false"/>
          <w:bCs w:val="false"/>
          <w:i w:val="false"/>
          <w:iCs w:val="false"/>
          <w:color w:val="1A1A1A"/>
          <w:sz w:val="22"/>
          <w:szCs w:val="22"/>
        </w:rPr>
        <w:t xml:space="preserve">The Q4 2025 question — "is this a market shift or a company-specific issue" — has been answered: company-specific. The Q1 question — "can we bend the trajectory back" — has been answered: yes, in March. The Q2 question is now: "can we extend the recovery and prove the strategy at scale?"</w:t>
      </w:r>
    </w:p>
    <w:p>
      <w:pPr>
        <w:spacing w:after="140" w:before="0" w:line="320"/>
        <w:jc w:val="left"/>
      </w:pPr>
      <w:r>
        <w:rPr>
          <w:rFonts w:ascii="Calibri" w:cs="Calibri" w:eastAsia="Calibri" w:hAnsi="Calibri"/>
          <w:b w:val="false"/>
          <w:bCs w:val="false"/>
          <w:i w:val="false"/>
          <w:iCs w:val="false"/>
          <w:color w:val="1A1A1A"/>
          <w:sz w:val="22"/>
          <w:szCs w:val="22"/>
        </w:rPr>
        <w:t xml:space="preserve">I think we can. The next ninety days will demonstrate whether I'm right.</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Bram</w:t>
      </w:r>
    </w:p>
    <w:p>
      <w:pPr>
        <w:spacing w:after="360"/>
      </w:pPr>
      <w:r>
        <w:t xml:space="preserve"/>
      </w:r>
    </w:p>
    <w:p>
      <w:pPr>
        <w:pBdr>
          <w:bottom w:val="single" w:color="8B2E2B" w:sz="8" w:space="4"/>
        </w:pBdr>
        <w:spacing w:after="200" w:before="80"/>
      </w:pPr>
      <w:r>
        <w:t xml:space="preserve"/>
      </w:r>
    </w:p>
    <w:p>
      <w:pPr>
        <w:spacing w:after="140" w:before="0" w:line="320"/>
        <w:jc w:val="center"/>
      </w:pPr>
      <w:r>
        <w:rPr>
          <w:rFonts w:ascii="Georgia" w:cs="Georgia" w:eastAsia="Georgia" w:hAnsi="Georgia"/>
          <w:b w:val="false"/>
          <w:bCs w:val="false"/>
          <w:i/>
          <w:iCs/>
          <w:color w:val="6F6A5D"/>
          <w:sz w:val="22"/>
          <w:szCs w:val="22"/>
        </w:rPr>
        <w:t xml:space="preserve">End of Turn 3 — Syni.ai Q1 2026 executive cycle deliverables.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1" w:sz="4" w:space="4"/>
      </w:pBdr>
      <w:jc w:val="center"/>
    </w:pPr>
    <w:r>
      <w:rPr>
        <w:rFonts w:ascii="Calibri" w:cs="Calibri" w:eastAsia="Calibri" w:hAnsi="Calibri"/>
        <w:color w:val="6F6A5D"/>
        <w:sz w:val="16"/>
        <w:szCs w:val="16"/>
      </w:rPr>
      <w:t xml:space="preserve">Page </w:t>
    </w:r>
    <w:r>
      <w:rPr>
        <w:rFonts w:ascii="Calibri" w:cs="Calibri" w:eastAsia="Calibri" w:hAnsi="Calibri"/>
        <w:color w:val="6F6A5D"/>
        <w:sz w:val="16"/>
        <w:szCs w:val="16"/>
      </w:rPr>
      <w:fldChar w:fldCharType="begin"/>
      <w:instrText xml:space="preserve">PAGE</w:instrText>
      <w:fldChar w:fldCharType="separate"/>
      <w:fldChar w:fldCharType="end"/>
    </w:r>
    <w:r>
      <w:rPr>
        <w:rFonts w:ascii="Calibri" w:cs="Calibri" w:eastAsia="Calibri" w:hAnsi="Calibri"/>
        <w:color w:val="6F6A5D"/>
        <w:sz w:val="16"/>
        <w:szCs w:val="16"/>
      </w:rPr>
      <w:t xml:space="preserve"> / </w:t>
    </w:r>
    <w:r>
      <w:rPr>
        <w:rFonts w:ascii="Calibri" w:cs="Calibri" w:eastAsia="Calibri" w:hAnsi="Calibri"/>
        <w:color w:val="6F6A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1" w:sz="4" w:space="4"/>
      </w:pBdr>
      <w:jc w:val="left"/>
    </w:pPr>
    <w:r>
      <w:rPr>
        <w:rFonts w:ascii="Georgia" w:cs="Georgia" w:eastAsia="Georgia" w:hAnsi="Georgia"/>
        <w:b/>
        <w:bCs/>
        <w:color w:val="1A1A1A"/>
        <w:sz w:val="18"/>
        <w:szCs w:val="18"/>
      </w:rPr>
      <w:t xml:space="preserve">AKKI Test Data · Syni.ai Q1 2026 Executive 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Test Data — Syni.ai Q1 2026 Executive Cycle</dc:title>
  <dc:creator>Syni.ai</dc:creator>
  <dc:description>Turn 3 - Syni.ai Q1 2026 monthly consolidated reports + Q1 performance review</dc:description>
  <cp:lastModifiedBy>Un-named</cp:lastModifiedBy>
  <cp:revision>1</cp:revision>
  <dcterms:created xsi:type="dcterms:W3CDTF">2026-05-01T18:17:10.458Z</dcterms:created>
  <dcterms:modified xsi:type="dcterms:W3CDTF">2026-05-01T18:17:10.459Z</dcterms:modified>
</cp:coreProperties>
</file>

<file path=docProps/custom.xml><?xml version="1.0" encoding="utf-8"?>
<Properties xmlns="http://schemas.openxmlformats.org/officeDocument/2006/custom-properties" xmlns:vt="http://schemas.openxmlformats.org/officeDocument/2006/docPropsVTypes"/>
</file>