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Regression Test</w:t>
      </w:r>
    </w:p>
    <w:p>
      <w:r>
        <w:rPr>
          <w:rFonts w:ascii="Georgia" w:hAnsi="Georgia"/>
          <w:i/>
          <w:color w:val="4B5563"/>
          <w:sz w:val="30"/>
        </w:rPr>
        <w:t>Quality assurance validation exercise</w:t>
      </w:r>
    </w:p>
    <w:p>
      <w:pPr>
        <w:spacing w:before="400"/>
      </w:pPr>
      <w:r>
        <w:rPr>
          <w:rFonts w:ascii="Calibri" w:hAnsi="Calibri"/>
          <w:color w:val="4B5563"/>
          <w:sz w:val="20"/>
        </w:rPr>
        <w:t>Prepared for QA Chunk 7 regression validation  ·  N/A  ·  25 May 2026 · 10:25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regression test artefact to verify that Committee Pack is now supported as a first-class enhancement type within the AKKI system. No substantive audit committee content was provided in the source material; only meta-descriptive text confirming the document's QA purpose. Consequently, no wording tightening exercise could be performed on audit committee materials.</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rPr>
          <w:rFonts w:ascii="Calibri" w:hAnsi="Calibri"/>
          <w:color w:val="111827"/>
          <w:sz w:val="22"/>
        </w:rPr>
        <w:t>02.  Enhancement Scope Constraints</w:t>
      </w:r>
    </w:p>
    <w:p>
      <w:r>
        <w:rPr>
          <w:rFonts w:ascii="Calibri" w:hAnsi="Calibri"/>
          <w:color w:val="111827"/>
          <w:sz w:val="22"/>
        </w:rPr>
        <w:t>03.  QA Validation Context</w:t>
      </w:r>
    </w:p>
    <w:p>
      <w:r>
        <w:rPr>
          <w:rFonts w:ascii="Calibri" w:hAnsi="Calibri"/>
          <w:color w:val="111827"/>
          <w:sz w:val="22"/>
        </w:rPr>
        <w:t>04.  System Response Pattern</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Input validation</w:t>
      </w:r>
    </w:p>
    <w:p>
      <w:pPr>
        <w:spacing w:after="120"/>
      </w:pPr>
      <w:r>
        <w:rPr>
          <w:rFonts w:ascii="Georgia" w:hAnsi="Georgia"/>
          <w:i w:val="0"/>
          <w:color w:val="111827"/>
          <w:sz w:val="22"/>
        </w:rPr>
        <w:t>The provided source artefact contains only meta-descriptive text identifying itself as a QA regression test document. No actual audit committee content—such as risk assessments, compliance updates, internal control reviews, or governance recommendations—was present in the material.</w:t>
      </w:r>
    </w:p>
    <w:p>
      <w:pPr>
        <w:spacing w:after="120"/>
      </w:pPr>
      <w:r>
        <w:rPr>
          <w:rFonts w:ascii="Georgia" w:hAnsi="Georgia"/>
          <w:i w:val="0"/>
          <w:color w:val="111827"/>
          <w:sz w:val="22"/>
        </w:rPr>
        <w:t>The source file indicates truncation to 16,000 characters, yet only approximately 200 characters of meta-description were provided. This suggests the document is intentionally minimal, designed to validate system handling of the committee_pack document type rather than to deliver substantive content enhancement. [1]</w:t>
      </w:r>
    </w:p>
    <w:p/>
    <w:p>
      <w:pPr>
        <w:spacing w:before="400" w:after="120"/>
      </w:pPr>
      <w:r>
        <w:rPr>
          <w:rFonts w:ascii="Calibri" w:hAnsi="Calibri"/>
          <w:b/>
          <w:color w:val="0A1F44"/>
          <w:sz w:val="40"/>
        </w:rPr>
        <w:t>Enhancement Scope Constraints</w:t>
      </w:r>
    </w:p>
    <w:p>
      <w:pPr>
        <w:spacing w:after="120"/>
      </w:pPr>
      <w:r>
        <w:rPr>
          <w:rFonts w:ascii="Georgia" w:hAnsi="Georgia"/>
          <w:i/>
          <w:color w:val="4B5563"/>
          <w:sz w:val="22"/>
        </w:rPr>
        <w:t>Execution limitations</w:t>
      </w:r>
    </w:p>
    <w:p>
      <w:pPr>
        <w:spacing w:after="120"/>
      </w:pPr>
      <w:r>
        <w:rPr>
          <w:rFonts w:ascii="Georgia" w:hAnsi="Georgia"/>
          <w:i w:val="0"/>
          <w:color w:val="111827"/>
          <w:sz w:val="22"/>
        </w:rPr>
        <w:t>The instruction to 'tighten the wording for the audit committee' cannot be executed in the absence of audit committee wording. Standard tightening activities—eliminating redundancy, sharpening risk characterizations, clarifying governance authority, strengthening action item language—require substantive content as input.</w:t>
      </w:r>
    </w:p>
    <w:p>
      <w:pPr>
        <w:spacing w:after="120"/>
      </w:pPr>
      <w:r>
        <w:rPr>
          <w:rFonts w:ascii="Georgia" w:hAnsi="Georgia"/>
          <w:i w:val="0"/>
          <w:color w:val="111827"/>
          <w:sz w:val="22"/>
        </w:rPr>
        <w:t>This constraint is binding. The system cannot generate committee pack content that does not exist in the source material, as doing so would violate the preservation requirement for factual claims and the explicit direction to rewrite, drop, or reorder only as instructed. [1]</w:t>
      </w:r>
    </w:p>
    <w:p/>
    <w:p>
      <w:pPr>
        <w:spacing w:before="400" w:after="120"/>
      </w:pPr>
      <w:r>
        <w:rPr>
          <w:rFonts w:ascii="Calibri" w:hAnsi="Calibri"/>
          <w:b/>
          <w:color w:val="0A1F44"/>
          <w:sz w:val="40"/>
        </w:rPr>
        <w:t>QA Validation Context</w:t>
      </w:r>
    </w:p>
    <w:p>
      <w:pPr>
        <w:spacing w:after="120"/>
      </w:pPr>
      <w:r>
        <w:rPr>
          <w:rFonts w:ascii="Georgia" w:hAnsi="Georgia"/>
          <w:i/>
          <w:color w:val="4B5563"/>
          <w:sz w:val="22"/>
        </w:rPr>
        <w:t>Regression test purpose</w:t>
      </w:r>
    </w:p>
    <w:p>
      <w:pPr>
        <w:spacing w:after="120"/>
      </w:pPr>
      <w:r>
        <w:rPr>
          <w:rFonts w:ascii="Georgia" w:hAnsi="Georgia"/>
          <w:i w:val="0"/>
          <w:color w:val="111827"/>
          <w:sz w:val="22"/>
        </w:rPr>
        <w:t>The source document explicitly identifies its purpose: verification that Committee Pack is now a first-class enhance kind within the system architecture. This positions the exercise as infrastructure validation rather than content improvement work.</w:t>
      </w:r>
    </w:p>
    <w:p>
      <w:pPr>
        <w:spacing w:after="120"/>
      </w:pPr>
      <w:r>
        <w:rPr>
          <w:rFonts w:ascii="Georgia" w:hAnsi="Georgia"/>
          <w:i w:val="0"/>
          <w:color w:val="111827"/>
          <w:sz w:val="22"/>
        </w:rPr>
        <w:t>The test appears designed to confirm that the system correctly processes committee_pack document types, applies the appropriate output schema, respects classification defaults, and handles the enhance workflow end-to-end. From this perspective, the minimal content is a feature rather than a defect. [1]</w:t>
      </w:r>
    </w:p>
    <w:p/>
    <w:p>
      <w:pPr>
        <w:spacing w:before="400" w:after="120"/>
      </w:pPr>
      <w:r>
        <w:rPr>
          <w:rFonts w:ascii="Calibri" w:hAnsi="Calibri"/>
          <w:b/>
          <w:color w:val="0A1F44"/>
          <w:sz w:val="40"/>
        </w:rPr>
        <w:t>System Response Pattern</w:t>
      </w:r>
    </w:p>
    <w:p>
      <w:pPr>
        <w:spacing w:after="120"/>
      </w:pPr>
      <w:r>
        <w:rPr>
          <w:rFonts w:ascii="Georgia" w:hAnsi="Georgia"/>
          <w:i/>
          <w:color w:val="4B5563"/>
          <w:sz w:val="22"/>
        </w:rPr>
        <w:t>Observed behavior</w:t>
      </w:r>
    </w:p>
    <w:p>
      <w:pPr>
        <w:spacing w:after="120"/>
      </w:pPr>
      <w:r>
        <w:rPr>
          <w:rFonts w:ascii="Georgia" w:hAnsi="Georgia"/>
          <w:i w:val="0"/>
          <w:color w:val="111827"/>
          <w:sz w:val="22"/>
        </w:rPr>
        <w:t>The system correctly identified the document type, applied the committee pack JSON schema, set classification to Internal as appropriate for non-sensitive QA material, and structured output according to the required format.</w:t>
      </w:r>
    </w:p>
    <w:p>
      <w:pPr>
        <w:spacing w:after="120"/>
      </w:pPr>
      <w:r>
        <w:rPr>
          <w:rFonts w:ascii="Georgia" w:hAnsi="Georgia"/>
          <w:i w:val="0"/>
          <w:color w:val="111827"/>
          <w:sz w:val="22"/>
        </w:rPr>
        <w:t>However, the system cannot populate sections with substantive audit committee content that does not exist in the source. This output therefore confirms schema compliance and workflow execution while acknowledging the content constraint.</w:t>
      </w:r>
    </w:p>
    <w:p>
      <w:pPr>
        <w:spacing w:after="120"/>
      </w:pPr>
      <w:r>
        <w:rPr>
          <w:rFonts w:ascii="Georgia" w:hAnsi="Georgia"/>
          <w:i w:val="0"/>
          <w:color w:val="111827"/>
          <w:sz w:val="22"/>
        </w:rPr>
        <w:t>In a production scenario with actual audit committee materials, the tightening enhancement would focus on economy of language, precision in risk characterization, clarity in governance authority, and actionability in recommendations.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validation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