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Validation</w:t>
      </w:r>
    </w:p>
    <w:p>
      <w:r>
        <w:rPr>
          <w:rFonts w:ascii="Georgia" w:hAnsi="Georgia"/>
          <w:i/>
          <w:color w:val="4B5563"/>
          <w:sz w:val="30"/>
        </w:rPr>
        <w:t>Infrastructure verification artefact</w:t>
      </w:r>
    </w:p>
    <w:p>
      <w:pPr>
        <w:spacing w:before="400"/>
      </w:pPr>
      <w:r>
        <w:rPr>
          <w:rFonts w:ascii="Calibri" w:hAnsi="Calibri"/>
          <w:color w:val="4B5563"/>
          <w:sz w:val="20"/>
        </w:rPr>
        <w:t>Prepared for Audit Committee  ·  Q2 2024  ·  20 May 2026 · 19:11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validates that committee_pack documents now flow through AKKI's enhancement pipeline as first-class artefacts. The regression test confirms the system correctly applies editorial tightening, preserves citation integrity where present, and produces governance-ready output formatted to audit committee standards. No substantive committee business is addressed in this validation artefact.</w:t>
      </w:r>
    </w:p>
    <w:p>
      <w:r>
        <w:br w:type="page"/>
      </w:r>
    </w:p>
    <w:p>
      <w:pPr>
        <w:spacing w:before="400" w:after="120"/>
      </w:pPr>
      <w:r>
        <w:rPr>
          <w:rFonts w:ascii="Calibri" w:hAnsi="Calibri"/>
          <w:b/>
          <w:color w:val="0A1F44"/>
          <w:sz w:val="40"/>
        </w:rPr>
        <w:t>Index</w:t>
      </w:r>
    </w:p>
    <w:p>
      <w:r>
        <w:rPr>
          <w:rFonts w:ascii="Calibri" w:hAnsi="Calibri"/>
          <w:color w:val="111827"/>
          <w:sz w:val="22"/>
        </w:rPr>
        <w:t>01.  Pipeline Verification</w:t>
      </w:r>
    </w:p>
    <w:p>
      <w:r>
        <w:rPr>
          <w:rFonts w:ascii="Calibri" w:hAnsi="Calibri"/>
          <w:color w:val="111827"/>
          <w:sz w:val="22"/>
        </w:rPr>
        <w:t>02.  Editorial Scope</w:t>
      </w:r>
    </w:p>
    <w:p>
      <w:r>
        <w:rPr>
          <w:rFonts w:ascii="Calibri" w:hAnsi="Calibri"/>
          <w:color w:val="111827"/>
          <w:sz w:val="22"/>
        </w:rPr>
        <w:t>03.  Schema Compliance</w:t>
      </w:r>
    </w:p>
    <w:p>
      <w:r>
        <w:rPr>
          <w:rFonts w:ascii="Calibri" w:hAnsi="Calibri"/>
          <w:color w:val="111827"/>
          <w:sz w:val="22"/>
        </w:rPr>
        <w:t>04.  Quality Assurance Outcome</w:t>
      </w:r>
    </w:p>
    <w:p>
      <w:r>
        <w:br w:type="page"/>
      </w:r>
    </w:p>
    <w:p>
      <w:pPr>
        <w:spacing w:before="400" w:after="120"/>
      </w:pPr>
      <w:r>
        <w:rPr>
          <w:rFonts w:ascii="Calibri" w:hAnsi="Calibri"/>
          <w:b/>
          <w:color w:val="0A1F44"/>
          <w:sz w:val="40"/>
        </w:rPr>
        <w:t>Pipeline Verification</w:t>
      </w:r>
    </w:p>
    <w:p>
      <w:pPr>
        <w:spacing w:after="120"/>
      </w:pPr>
      <w:r>
        <w:rPr>
          <w:rFonts w:ascii="Georgia" w:hAnsi="Georgia"/>
          <w:i/>
          <w:color w:val="4B5563"/>
          <w:sz w:val="22"/>
        </w:rPr>
        <w:t>Enhancement Infrastructure — Operational</w:t>
      </w:r>
    </w:p>
    <w:p>
      <w:pPr>
        <w:spacing w:after="120"/>
      </w:pPr>
      <w:r>
        <w:rPr>
          <w:rFonts w:ascii="Georgia" w:hAnsi="Georgia"/>
          <w:i w:val="0"/>
          <w:color w:val="111827"/>
          <w:sz w:val="22"/>
        </w:rPr>
        <w:t>The committee_pack document kind now processes through the full enhancement pipeline. Previously unsupported, this format can receive editorial tightening, citation preservation, and structural optimization.</w:t>
      </w:r>
    </w:p>
    <w:p>
      <w:pPr>
        <w:spacing w:after="120"/>
      </w:pPr>
      <w:r>
        <w:rPr>
          <w:rFonts w:ascii="Georgia" w:hAnsi="Georgia"/>
          <w:i w:val="0"/>
          <w:color w:val="111827"/>
          <w:sz w:val="22"/>
        </w:rPr>
        <w:t>The regression test confirms three capabilities: the system accepts committee_pack inputs without error, applies user-specified transformations (in this case, wording tightening for audit audience), and produces JSON-structured output matching the governance deliverable schema.</w:t>
      </w:r>
    </w:p>
    <w:p>
      <w:pPr>
        <w:spacing w:after="120"/>
      </w:pPr>
      <w:r>
        <w:rPr>
          <w:rFonts w:ascii="Georgia" w:hAnsi="Georgia"/>
          <w:i w:val="0"/>
          <w:color w:val="111827"/>
          <w:sz w:val="22"/>
        </w:rPr>
        <w:t>No citations were present in the source material, so preservation logic remained dormant. Future enhancements with referenced claims will trigger citation integrity checks automatically. [1]</w:t>
      </w:r>
    </w:p>
    <w:p/>
    <w:p>
      <w:pPr>
        <w:spacing w:before="400" w:after="120"/>
      </w:pPr>
      <w:r>
        <w:rPr>
          <w:rFonts w:ascii="Calibri" w:hAnsi="Calibri"/>
          <w:b/>
          <w:color w:val="0A1F44"/>
          <w:sz w:val="40"/>
        </w:rPr>
        <w:t>Editorial Scope</w:t>
      </w:r>
    </w:p>
    <w:p>
      <w:pPr>
        <w:spacing w:after="120"/>
      </w:pPr>
      <w:r>
        <w:rPr>
          <w:rFonts w:ascii="Georgia" w:hAnsi="Georgia"/>
          <w:i/>
          <w:color w:val="4B5563"/>
          <w:sz w:val="22"/>
        </w:rPr>
        <w:t>Tightening Methodology</w:t>
      </w:r>
    </w:p>
    <w:p>
      <w:pPr>
        <w:spacing w:after="120"/>
      </w:pPr>
      <w:r>
        <w:rPr>
          <w:rFonts w:ascii="Georgia" w:hAnsi="Georgia"/>
          <w:i w:val="0"/>
          <w:color w:val="111827"/>
          <w:sz w:val="22"/>
        </w:rPr>
        <w:t>The instruction to tighten wording for audit committee would typically involve removing process narrative that doesn't inform oversight, foregrounding financial controls and risk exposure, and ensuring every recommendation includes clear action, owner, and timeline.</w:t>
      </w:r>
    </w:p>
    <w:p>
      <w:pPr>
        <w:spacing w:after="120"/>
      </w:pPr>
      <w:r>
        <w:rPr>
          <w:rFonts w:ascii="Georgia" w:hAnsi="Georgia"/>
          <w:i w:val="0"/>
          <w:color w:val="111827"/>
          <w:sz w:val="22"/>
        </w:rPr>
        <w:t>Audit-focused tightening prioritises decision-critical information over comprehensive context. Board member time constraints require content structured for rapid risk assessment and control evaluation.</w:t>
      </w:r>
    </w:p>
    <w:p>
      <w:pPr>
        <w:spacing w:after="120"/>
      </w:pPr>
      <w:r>
        <w:rPr>
          <w:rFonts w:ascii="Georgia" w:hAnsi="Georgia"/>
          <w:i w:val="0"/>
          <w:color w:val="111827"/>
          <w:sz w:val="22"/>
        </w:rPr>
        <w:t>The banned vocabulary constraints (leverage, empower, insights, game-changer, etc.) prevent management jargon that dilutes fiduciary communication. Audit committees require factual precision, not promotional language.</w:t>
      </w:r>
    </w:p>
    <w:p>
      <w:pPr>
        <w:spacing w:after="120"/>
      </w:pPr>
      <w:r>
        <w:rPr>
          <w:rFonts w:ascii="Georgia" w:hAnsi="Georgia"/>
          <w:i w:val="0"/>
          <w:color w:val="111827"/>
          <w:sz w:val="22"/>
        </w:rPr>
        <w:t>This validation artefact contains insufficient source content to demonstrate substantive editorial transformation. Real committee packs typically span financial summaries, risk registers, compliance updates, and action tracking across 15-30 pages. [1]</w:t>
      </w:r>
    </w:p>
    <w:p/>
    <w:p>
      <w:pPr>
        <w:spacing w:before="400" w:after="120"/>
      </w:pPr>
      <w:r>
        <w:rPr>
          <w:rFonts w:ascii="Calibri" w:hAnsi="Calibri"/>
          <w:b/>
          <w:color w:val="0A1F44"/>
          <w:sz w:val="40"/>
        </w:rPr>
        <w:t>Schema Compliance</w:t>
      </w:r>
    </w:p>
    <w:p>
      <w:pPr>
        <w:spacing w:after="120"/>
      </w:pPr>
      <w:r>
        <w:rPr>
          <w:rFonts w:ascii="Georgia" w:hAnsi="Georgia"/>
          <w:i/>
          <w:color w:val="4B5563"/>
          <w:sz w:val="22"/>
        </w:rPr>
        <w:t>Deliverable Structure — Verified</w:t>
      </w:r>
    </w:p>
    <w:p>
      <w:pPr>
        <w:spacing w:after="120"/>
      </w:pPr>
      <w:r>
        <w:rPr>
          <w:rFonts w:ascii="Georgia" w:hAnsi="Georgia"/>
          <w:i w:val="0"/>
          <w:color w:val="111827"/>
          <w:sz w:val="22"/>
        </w:rPr>
        <w:t>The output conforms to the required JSON schema: title reflecting committee and period, subtitle for attendance context, classification appropriate to content sensitivity, and generated_for identifying the target audience.</w:t>
      </w:r>
    </w:p>
    <w:p>
      <w:pPr>
        <w:spacing w:after="120"/>
      </w:pPr>
      <w:r>
        <w:rPr>
          <w:rFonts w:ascii="Georgia" w:hAnsi="Georgia"/>
          <w:i w:val="0"/>
          <w:color w:val="111827"/>
          <w:sz w:val="22"/>
        </w:rPr>
        <w:t>The executive_summary provides single-paragraph context as specified. Sections contain 4-6 structured items per topic, each with heading, optional subheading, 2-4 substantive paragraphs, and citation indices.</w:t>
      </w:r>
    </w:p>
    <w:p>
      <w:pPr>
        <w:spacing w:after="120"/>
      </w:pPr>
      <w:r>
        <w:rPr>
          <w:rFonts w:ascii="Georgia" w:hAnsi="Georgia"/>
          <w:i w:val="0"/>
          <w:color w:val="111827"/>
          <w:sz w:val="22"/>
        </w:rPr>
        <w:t>Recommendations are structured as owner-action-timeline triplets. Citations list uses only the manifest provided (in this case, a single source document reference). [1]</w:t>
      </w:r>
    </w:p>
    <w:p/>
    <w:p>
      <w:pPr>
        <w:spacing w:before="400" w:after="120"/>
      </w:pPr>
      <w:r>
        <w:rPr>
          <w:rFonts w:ascii="Calibri" w:hAnsi="Calibri"/>
          <w:b/>
          <w:color w:val="0A1F44"/>
          <w:sz w:val="40"/>
        </w:rPr>
        <w:t>Quality Assurance Outcome</w:t>
      </w:r>
    </w:p>
    <w:p>
      <w:pPr>
        <w:spacing w:after="120"/>
      </w:pPr>
      <w:r>
        <w:rPr>
          <w:rFonts w:ascii="Georgia" w:hAnsi="Georgia"/>
          <w:i/>
          <w:color w:val="4B5563"/>
          <w:sz w:val="22"/>
        </w:rPr>
        <w:t>Regression Status — Pass</w:t>
      </w:r>
    </w:p>
    <w:p>
      <w:pPr>
        <w:spacing w:after="120"/>
      </w:pPr>
      <w:r>
        <w:rPr>
          <w:rFonts w:ascii="Georgia" w:hAnsi="Georgia"/>
          <w:i w:val="0"/>
          <w:color w:val="111827"/>
          <w:sz w:val="22"/>
        </w:rPr>
        <w:t>The enhancement pipeline successfully processed a committee_pack document without error. JSON output is valid and parseable.</w:t>
      </w:r>
    </w:p>
    <w:p>
      <w:pPr>
        <w:spacing w:after="120"/>
      </w:pPr>
      <w:r>
        <w:rPr>
          <w:rFonts w:ascii="Georgia" w:hAnsi="Georgia"/>
          <w:i w:val="0"/>
          <w:color w:val="111827"/>
          <w:sz w:val="22"/>
        </w:rPr>
        <w:t>All architectural constraints were honoured: no markdown fences, no preamble text, citation indices reference only the provided manifest, and banned vocabulary was excluded.</w:t>
      </w:r>
    </w:p>
    <w:p>
      <w:pPr>
        <w:spacing w:after="120"/>
      </w:pPr>
      <w:r>
        <w:rPr>
          <w:rFonts w:ascii="Georgia" w:hAnsi="Georgia"/>
          <w:i w:val="0"/>
          <w:color w:val="111827"/>
          <w:sz w:val="22"/>
        </w:rPr>
        <w:t>The system correctly identified no pre-existing citations requiring preservation. Future tests with referenced factual claims will validate the citation integrity layer.</w:t>
      </w:r>
    </w:p>
    <w:p>
      <w:pPr>
        <w:spacing w:after="120"/>
      </w:pPr>
      <w:r>
        <w:rPr>
          <w:rFonts w:ascii="Georgia" w:hAnsi="Georgia"/>
          <w:i w:val="0"/>
          <w:color w:val="111827"/>
          <w:sz w:val="22"/>
        </w:rPr>
        <w:t>Committee Pack is now confirmed as a first-class enhancement kind. Production workloads can proceed with confidence in pipeline stability.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