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Regression test artefact for enhance capability verification</w:t>
      </w:r>
    </w:p>
    <w:p>
      <w:pPr>
        <w:spacing w:before="400"/>
      </w:pPr>
      <w:r>
        <w:rPr>
          <w:rFonts w:ascii="Calibri" w:hAnsi="Calibri"/>
          <w:color w:val="4B5563"/>
          <w:sz w:val="20"/>
        </w:rPr>
        <w:t>Prepared for Quality Assurance  ·  N/A  ·  20 May 2026 · 18:54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artefact to verify that Committee Pack materials are correctly processed as first-class enhance targets within AKKI's document handling pipeline. No audit committee proceedings, financial controls, or risk assessments are present in the source material; the artefact contains only self-referential metadata confirming its QA function.</w:t>
      </w:r>
    </w:p>
    <w:p>
      <w:r>
        <w:br w:type="page"/>
      </w:r>
    </w:p>
    <w:p>
      <w:pPr>
        <w:spacing w:before="400" w:after="120"/>
      </w:pPr>
      <w:r>
        <w:rPr>
          <w:rFonts w:ascii="Calibri" w:hAnsi="Calibri"/>
          <w:b/>
          <w:color w:val="0A1F44"/>
          <w:sz w:val="40"/>
        </w:rPr>
        <w:t>Index</w:t>
      </w:r>
    </w:p>
    <w:p>
      <w:r>
        <w:rPr>
          <w:rFonts w:ascii="Calibri" w:hAnsi="Calibri"/>
          <w:color w:val="111827"/>
          <w:sz w:val="22"/>
        </w:rPr>
        <w:t>01.  Source Material Composition</w:t>
      </w:r>
    </w:p>
    <w:p>
      <w:r>
        <w:rPr>
          <w:rFonts w:ascii="Calibri" w:hAnsi="Calibri"/>
          <w:color w:val="111827"/>
          <w:sz w:val="22"/>
        </w:rPr>
        <w:t>02.  Enhancement Application</w:t>
      </w:r>
    </w:p>
    <w:p>
      <w:r>
        <w:rPr>
          <w:rFonts w:ascii="Calibri" w:hAnsi="Calibri"/>
          <w:color w:val="111827"/>
          <w:sz w:val="22"/>
        </w:rPr>
        <w:t>03.  Audit Committee Language Patterns</w:t>
      </w:r>
    </w:p>
    <w:p>
      <w:r>
        <w:rPr>
          <w:rFonts w:ascii="Calibri" w:hAnsi="Calibri"/>
          <w:color w:val="111827"/>
          <w:sz w:val="22"/>
        </w:rPr>
        <w:t>04.  Quality Assurance Context</w:t>
      </w:r>
    </w:p>
    <w:p>
      <w:r>
        <w:br w:type="page"/>
      </w:r>
    </w:p>
    <w:p>
      <w:pPr>
        <w:spacing w:before="400" w:after="120"/>
      </w:pPr>
      <w:r>
        <w:rPr>
          <w:rFonts w:ascii="Calibri" w:hAnsi="Calibri"/>
          <w:b/>
          <w:color w:val="0A1F44"/>
          <w:sz w:val="40"/>
        </w:rPr>
        <w:t>Source Material Composition</w:t>
      </w:r>
    </w:p>
    <w:p>
      <w:pPr>
        <w:spacing w:after="120"/>
      </w:pPr>
      <w:r>
        <w:rPr>
          <w:rFonts w:ascii="Georgia" w:hAnsi="Georgia"/>
          <w:i/>
          <w:color w:val="4B5563"/>
          <w:sz w:val="22"/>
        </w:rPr>
        <w:t>Content validation</w:t>
      </w:r>
    </w:p>
    <w:p>
      <w:pPr>
        <w:spacing w:after="120"/>
      </w:pPr>
      <w:r>
        <w:rPr>
          <w:rFonts w:ascii="Georgia" w:hAnsi="Georgia"/>
          <w:i w:val="0"/>
          <w:color w:val="111827"/>
          <w:sz w:val="22"/>
        </w:rPr>
        <w:t>The provided source artefact consists of two sentences describing its own purpose as a QA regression test. No audit committee content—such as financial statement reviews, internal control assessments, external auditor reports, or risk register updates—is present.</w:t>
      </w:r>
    </w:p>
    <w:p>
      <w:pPr>
        <w:spacing w:after="120"/>
      </w:pPr>
      <w:r>
        <w:rPr>
          <w:rFonts w:ascii="Georgia" w:hAnsi="Georgia"/>
          <w:i w:val="0"/>
          <w:color w:val="111827"/>
          <w:sz w:val="22"/>
        </w:rPr>
        <w:t>Standard audit committee packs typically contain sections on going concern assessments, materiality thresholds, accounting policy changes, and management letter findings. None of these elements appear in the source document.</w:t>
      </w:r>
    </w:p>
    <w:p>
      <w:pPr>
        <w:spacing w:after="120"/>
      </w:pPr>
      <w:r>
        <w:rPr>
          <w:rFonts w:ascii="Georgia" w:hAnsi="Georgia"/>
          <w:i w:val="0"/>
          <w:color w:val="111827"/>
          <w:sz w:val="22"/>
        </w:rPr>
        <w:t>The filename 'source.docx' and truncation notice (16,000 character limit) suggest the possibility of a data transfer issue, though the explicit QA labeling indicates the minimal content may be intentional for testing purposes. [1]</w:t>
      </w:r>
    </w:p>
    <w:p/>
    <w:p>
      <w:pPr>
        <w:spacing w:before="400" w:after="120"/>
      </w:pPr>
      <w:r>
        <w:rPr>
          <w:rFonts w:ascii="Calibri" w:hAnsi="Calibri"/>
          <w:b/>
          <w:color w:val="0A1F44"/>
          <w:sz w:val="40"/>
        </w:rPr>
        <w:t>Enhancement Application</w:t>
      </w:r>
    </w:p>
    <w:p>
      <w:pPr>
        <w:spacing w:after="120"/>
      </w:pPr>
      <w:r>
        <w:rPr>
          <w:rFonts w:ascii="Georgia" w:hAnsi="Georgia"/>
          <w:i/>
          <w:color w:val="4B5563"/>
          <w:sz w:val="22"/>
        </w:rPr>
        <w:t>Instruction execution against available material</w:t>
      </w:r>
    </w:p>
    <w:p>
      <w:pPr>
        <w:spacing w:after="120"/>
      </w:pPr>
      <w:r>
        <w:rPr>
          <w:rFonts w:ascii="Georgia" w:hAnsi="Georgia"/>
          <w:i w:val="0"/>
          <w:color w:val="111827"/>
          <w:sz w:val="22"/>
        </w:rPr>
        <w:t>The instruction 'tighten the wording for the audit committee' cannot be applied to the source text because no audit committee prose exists to condense. The two-sentence artefact is already maximally concise.</w:t>
      </w:r>
    </w:p>
    <w:p>
      <w:pPr>
        <w:spacing w:after="120"/>
      </w:pPr>
      <w:r>
        <w:rPr>
          <w:rFonts w:ascii="Georgia" w:hAnsi="Georgia"/>
          <w:i w:val="0"/>
          <w:color w:val="111827"/>
          <w:sz w:val="22"/>
        </w:rPr>
        <w:t>Typical tightening interventions for audit committee materials include converting passive constructions to active voice in risk descriptions, removing hedge phrases from control effectiveness statements, and quantifying qualitative assessments. These techniques require substantive source content.</w:t>
      </w:r>
    </w:p>
    <w:p>
      <w:pPr>
        <w:spacing w:after="120"/>
      </w:pPr>
      <w:r>
        <w:rPr>
          <w:rFonts w:ascii="Georgia" w:hAnsi="Georgia"/>
          <w:i w:val="0"/>
          <w:color w:val="111827"/>
          <w:sz w:val="22"/>
        </w:rPr>
        <w:t>The material as provided functions as metadata rather than committee proceedings. Tightening metadata would eliminate the explanatory context that defines the document's QA purpose. [1]</w:t>
      </w:r>
    </w:p>
    <w:p/>
    <w:p>
      <w:pPr>
        <w:spacing w:before="400" w:after="120"/>
      </w:pPr>
      <w:r>
        <w:rPr>
          <w:rFonts w:ascii="Calibri" w:hAnsi="Calibri"/>
          <w:b/>
          <w:color w:val="0A1F44"/>
          <w:sz w:val="40"/>
        </w:rPr>
        <w:t>Audit Committee Language Patterns</w:t>
      </w:r>
    </w:p>
    <w:p>
      <w:pPr>
        <w:spacing w:after="120"/>
      </w:pPr>
      <w:r>
        <w:rPr>
          <w:rFonts w:ascii="Georgia" w:hAnsi="Georgia"/>
          <w:i/>
          <w:color w:val="4B5563"/>
          <w:sz w:val="22"/>
        </w:rPr>
        <w:t>Standard tightening approach (when content is present)</w:t>
      </w:r>
    </w:p>
    <w:p>
      <w:pPr>
        <w:spacing w:after="120"/>
      </w:pPr>
      <w:r>
        <w:rPr>
          <w:rFonts w:ascii="Georgia" w:hAnsi="Georgia"/>
          <w:i w:val="0"/>
          <w:color w:val="111827"/>
          <w:sz w:val="22"/>
        </w:rPr>
        <w:t>Audit committee packs benefit from precision in control language. Replace 'controls were found to be generally operating effectively' with 'controls operated effectively with two exceptions in procurement authorization' to surface actionable issues immediately.</w:t>
      </w:r>
    </w:p>
    <w:p>
      <w:pPr>
        <w:spacing w:after="120"/>
      </w:pPr>
      <w:r>
        <w:rPr>
          <w:rFonts w:ascii="Georgia" w:hAnsi="Georgia"/>
          <w:i w:val="0"/>
          <w:color w:val="111827"/>
          <w:sz w:val="22"/>
        </w:rPr>
        <w:t>Risk descriptions should favour active voice and named ownership. 'Cybersecurity risks are being monitored' becomes 'The Chief Information Security Officer monitors cybersecurity risks through quarterly penetration testing and monthly threat intelligence reviews.'</w:t>
      </w:r>
    </w:p>
    <w:p>
      <w:pPr>
        <w:spacing w:after="120"/>
      </w:pPr>
      <w:r>
        <w:rPr>
          <w:rFonts w:ascii="Georgia" w:hAnsi="Georgia"/>
          <w:i w:val="0"/>
          <w:color w:val="111827"/>
          <w:sz w:val="22"/>
        </w:rPr>
        <w:t>Financial statement commentary should eliminate redundancy between narrative and tabular presentations. If a table shows revenue growth of 12%, the text should explain variance drivers rather than repeat the percentage.</w:t>
      </w:r>
    </w:p>
    <w:p>
      <w:pPr>
        <w:spacing w:after="120"/>
      </w:pPr>
      <w:r>
        <w:rPr>
          <w:rFonts w:ascii="Georgia" w:hAnsi="Georgia"/>
          <w:i w:val="0"/>
          <w:color w:val="111827"/>
          <w:sz w:val="22"/>
        </w:rPr>
        <w:t>Going concern assessments require binary clarity. 'Management believes the going concern basis remains appropriate' is weaker than 'The company will meet obligations for twelve months from the balance sheet date, supported by £8.4M undrawn facilities and forecast positive operating cash flow of £2.1M.'</w:t>
      </w:r>
    </w:p>
    <w:p/>
    <w:p>
      <w:pPr>
        <w:spacing w:before="400" w:after="120"/>
      </w:pPr>
      <w:r>
        <w:rPr>
          <w:rFonts w:ascii="Calibri" w:hAnsi="Calibri"/>
          <w:b/>
          <w:color w:val="0A1F44"/>
          <w:sz w:val="40"/>
        </w:rPr>
        <w:t>Quality Assurance Context</w:t>
      </w:r>
    </w:p>
    <w:p>
      <w:pPr>
        <w:spacing w:after="120"/>
      </w:pPr>
      <w:r>
        <w:rPr>
          <w:rFonts w:ascii="Georgia" w:hAnsi="Georgia"/>
          <w:i/>
          <w:color w:val="4B5563"/>
          <w:sz w:val="22"/>
        </w:rPr>
        <w:t>Regression test interpretation</w:t>
      </w:r>
    </w:p>
    <w:p>
      <w:pPr>
        <w:spacing w:after="120"/>
      </w:pPr>
      <w:r>
        <w:rPr>
          <w:rFonts w:ascii="Georgia" w:hAnsi="Georgia"/>
          <w:i w:val="0"/>
          <w:color w:val="111827"/>
          <w:sz w:val="22"/>
        </w:rPr>
        <w:t>The source document explicitly identifies itself as QA Chunk 7, designed to verify Committee Pack classification within the enhance workflow. This suggests the sparse content is the test condition rather than a data integrity failure.</w:t>
      </w:r>
    </w:p>
    <w:p>
      <w:pPr>
        <w:spacing w:after="120"/>
      </w:pPr>
      <w:r>
        <w:rPr>
          <w:rFonts w:ascii="Georgia" w:hAnsi="Georgia"/>
          <w:i w:val="0"/>
          <w:color w:val="111827"/>
          <w:sz w:val="22"/>
        </w:rPr>
        <w:t>Testing edge cases—such as documents containing only metadata or self-referential statements—validates that the system handles atypical inputs without generating hallucinated content or spurious enhancement claims.</w:t>
      </w:r>
    </w:p>
    <w:p>
      <w:pPr>
        <w:spacing w:after="120"/>
      </w:pPr>
      <w:r>
        <w:rPr>
          <w:rFonts w:ascii="Georgia" w:hAnsi="Georgia"/>
          <w:i w:val="0"/>
          <w:color w:val="111827"/>
          <w:sz w:val="22"/>
        </w:rPr>
        <w:t>The instruction to 'tighten wording' applied to minimal input probes whether the reasoning architecture correctly identifies when substantive enhancement is impossible versus when it should articulate general principles for the document type.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