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Chunk 7 Regression</w:t>
      </w:r>
    </w:p>
    <w:p>
      <w:r>
        <w:rPr>
          <w:rFonts w:ascii="Georgia" w:hAnsi="Georgia"/>
          <w:i/>
          <w:color w:val="4B5563"/>
          <w:sz w:val="30"/>
        </w:rPr>
        <w:t>Classification Validation Exercise</w:t>
      </w:r>
    </w:p>
    <w:p>
      <w:pPr>
        <w:spacing w:before="400"/>
      </w:pPr>
      <w:r>
        <w:rPr>
          <w:rFonts w:ascii="Calibri" w:hAnsi="Calibri"/>
          <w:color w:val="4B5563"/>
          <w:sz w:val="20"/>
        </w:rPr>
        <w:t>Prepared for Audit Committee  ·  2024  ·  21 May 2026 · 22:10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test fixture for AKKI's committee pack enhancement pipeline, specifically validating that the committee_pack kind now routes correctly through first-class enhancement workflows. The source artefact contains only metadata—no substantive audit committee content exists to enhance. The appropriate output is confirmation that taxonomy classification operates as designed, not editorial refinement of non-existent materials.</w:t>
      </w:r>
    </w:p>
    <w:p>
      <w:r>
        <w:br w:type="page"/>
      </w:r>
    </w:p>
    <w:p>
      <w:pPr>
        <w:spacing w:before="400" w:after="120"/>
      </w:pPr>
      <w:r>
        <w:rPr>
          <w:rFonts w:ascii="Calibri" w:hAnsi="Calibri"/>
          <w:b/>
          <w:color w:val="0A1F44"/>
          <w:sz w:val="40"/>
        </w:rPr>
        <w:t>Index</w:t>
      </w:r>
    </w:p>
    <w:p>
      <w:r>
        <w:rPr>
          <w:rFonts w:ascii="Calibri" w:hAnsi="Calibri"/>
          <w:color w:val="111827"/>
          <w:sz w:val="22"/>
        </w:rPr>
        <w:t>01.  Purpose and Scope</w:t>
      </w:r>
    </w:p>
    <w:p>
      <w:r>
        <w:rPr>
          <w:rFonts w:ascii="Calibri" w:hAnsi="Calibri"/>
          <w:color w:val="111827"/>
          <w:sz w:val="22"/>
        </w:rPr>
        <w:t>02.  Technical Validation</w:t>
      </w:r>
    </w:p>
    <w:p>
      <w:r>
        <w:rPr>
          <w:rFonts w:ascii="Calibri" w:hAnsi="Calibri"/>
          <w:color w:val="111827"/>
          <w:sz w:val="22"/>
        </w:rPr>
        <w:t>03.  Content Assessment</w:t>
      </w:r>
    </w:p>
    <w:p>
      <w:r>
        <w:rPr>
          <w:rFonts w:ascii="Calibri" w:hAnsi="Calibri"/>
          <w:color w:val="111827"/>
          <w:sz w:val="22"/>
        </w:rPr>
        <w:t>04.  Interpretation Framework</w:t>
      </w:r>
    </w:p>
    <w:p>
      <w:r>
        <w:br w:type="page"/>
      </w:r>
    </w:p>
    <w:p>
      <w:pPr>
        <w:spacing w:before="400" w:after="120"/>
      </w:pPr>
      <w:r>
        <w:rPr>
          <w:rFonts w:ascii="Calibri" w:hAnsi="Calibri"/>
          <w:b/>
          <w:color w:val="0A1F44"/>
          <w:sz w:val="40"/>
        </w:rPr>
        <w:t>Purpose and Scope</w:t>
      </w:r>
    </w:p>
    <w:p>
      <w:pPr>
        <w:spacing w:after="120"/>
      </w:pPr>
      <w:r>
        <w:rPr>
          <w:rFonts w:ascii="Georgia" w:hAnsi="Georgia"/>
          <w:i/>
          <w:color w:val="4B5563"/>
          <w:sz w:val="22"/>
        </w:rPr>
        <w:t>QA Regression Testing</w:t>
      </w:r>
    </w:p>
    <w:p>
      <w:pPr>
        <w:spacing w:after="120"/>
      </w:pPr>
      <w:r>
        <w:rPr>
          <w:rFonts w:ascii="Georgia" w:hAnsi="Georgia"/>
          <w:i w:val="0"/>
          <w:color w:val="111827"/>
          <w:sz w:val="22"/>
        </w:rPr>
        <w:t>This artefact validates AKKI's recent taxonomy evolution, where committee_pack transitioned from secondary to first-class status within the enhancement framework.</w:t>
      </w:r>
    </w:p>
    <w:p>
      <w:pPr>
        <w:spacing w:after="120"/>
      </w:pPr>
      <w:r>
        <w:rPr>
          <w:rFonts w:ascii="Georgia" w:hAnsi="Georgia"/>
          <w:i w:val="0"/>
          <w:color w:val="111827"/>
          <w:sz w:val="22"/>
        </w:rPr>
        <w:t>The source document contains 157 characters—a title and explanatory sentence—rather than typical audit committee content such as agenda items, financial analyses, risk assessments, or governance resolutions.</w:t>
      </w:r>
    </w:p>
    <w:p>
      <w:pPr>
        <w:spacing w:after="120"/>
      </w:pPr>
      <w:r>
        <w:rPr>
          <w:rFonts w:ascii="Georgia" w:hAnsi="Georgia"/>
          <w:i w:val="0"/>
          <w:color w:val="111827"/>
          <w:sz w:val="22"/>
        </w:rPr>
        <w:t>The instruction to 'tighten the wording for the audit committee' cannot be executed against non-existent prose. No sections, paragraphs, or factual claims require editorial refinement. [1]</w:t>
      </w:r>
    </w:p>
    <w:p/>
    <w:p>
      <w:pPr>
        <w:spacing w:before="400" w:after="120"/>
      </w:pPr>
      <w:r>
        <w:rPr>
          <w:rFonts w:ascii="Calibri" w:hAnsi="Calibri"/>
          <w:b/>
          <w:color w:val="0A1F44"/>
          <w:sz w:val="40"/>
        </w:rPr>
        <w:t>Technical Validation</w:t>
      </w:r>
    </w:p>
    <w:p>
      <w:pPr>
        <w:spacing w:after="120"/>
      </w:pPr>
      <w:r>
        <w:rPr>
          <w:rFonts w:ascii="Georgia" w:hAnsi="Georgia"/>
          <w:i/>
          <w:color w:val="4B5563"/>
          <w:sz w:val="22"/>
        </w:rPr>
        <w:t>Routing and Classification</w:t>
      </w:r>
    </w:p>
    <w:p>
      <w:pPr>
        <w:spacing w:after="120"/>
      </w:pPr>
      <w:r>
        <w:rPr>
          <w:rFonts w:ascii="Georgia" w:hAnsi="Georgia"/>
          <w:i w:val="0"/>
          <w:color w:val="111827"/>
          <w:sz w:val="22"/>
        </w:rPr>
        <w:t>The reasoning rail activated correctly upon receiving a committee_pack kind designation, demonstrating proper pipeline integration.</w:t>
      </w:r>
    </w:p>
    <w:p>
      <w:pPr>
        <w:spacing w:after="120"/>
      </w:pPr>
      <w:r>
        <w:rPr>
          <w:rFonts w:ascii="Georgia" w:hAnsi="Georgia"/>
          <w:i w:val="0"/>
          <w:color w:val="111827"/>
          <w:sz w:val="22"/>
        </w:rPr>
        <w:t>Classification defaulted to Internal as no sensitive material was flagged in the description, consistent with operating preferences for QA fixtures.</w:t>
      </w:r>
    </w:p>
    <w:p>
      <w:pPr>
        <w:spacing w:after="120"/>
      </w:pPr>
      <w:r>
        <w:rPr>
          <w:rFonts w:ascii="Georgia" w:hAnsi="Georgia"/>
          <w:i w:val="0"/>
          <w:color w:val="111827"/>
          <w:sz w:val="22"/>
        </w:rPr>
        <w:t>The system preserved structural requirements—title, subtitle, sections array, recommendations list, citations manifest—despite minimal source content. [1]</w:t>
      </w:r>
    </w:p>
    <w:p/>
    <w:p>
      <w:pPr>
        <w:spacing w:before="400" w:after="120"/>
      </w:pPr>
      <w:r>
        <w:rPr>
          <w:rFonts w:ascii="Calibri" w:hAnsi="Calibri"/>
          <w:b/>
          <w:color w:val="0A1F44"/>
          <w:sz w:val="40"/>
        </w:rPr>
        <w:t>Content Assessment</w:t>
      </w:r>
    </w:p>
    <w:p>
      <w:pPr>
        <w:spacing w:after="120"/>
      </w:pPr>
      <w:r>
        <w:rPr>
          <w:rFonts w:ascii="Georgia" w:hAnsi="Georgia"/>
          <w:i/>
          <w:color w:val="4B5563"/>
          <w:sz w:val="22"/>
        </w:rPr>
        <w:t>Absence of Enhancement Targets</w:t>
      </w:r>
    </w:p>
    <w:p>
      <w:pPr>
        <w:spacing w:after="120"/>
      </w:pPr>
      <w:r>
        <w:rPr>
          <w:rFonts w:ascii="Georgia" w:hAnsi="Georgia"/>
          <w:i w:val="0"/>
          <w:color w:val="111827"/>
          <w:sz w:val="22"/>
        </w:rPr>
        <w:t>Standard audit committee packs contain financial statements, control effectiveness evaluations, external auditor reports, and management responses. None are present here.</w:t>
      </w:r>
    </w:p>
    <w:p>
      <w:pPr>
        <w:spacing w:after="120"/>
      </w:pPr>
      <w:r>
        <w:rPr>
          <w:rFonts w:ascii="Georgia" w:hAnsi="Georgia"/>
          <w:i w:val="0"/>
          <w:color w:val="111827"/>
          <w:sz w:val="22"/>
        </w:rPr>
        <w:t>No redundant qualifiers, passive voice constructions, or verbose formulations exist in the two-sentence source to eliminate or tighten.</w:t>
      </w:r>
    </w:p>
    <w:p>
      <w:pPr>
        <w:spacing w:after="120"/>
      </w:pPr>
      <w:r>
        <w:rPr>
          <w:rFonts w:ascii="Georgia" w:hAnsi="Georgia"/>
          <w:i w:val="0"/>
          <w:color w:val="111827"/>
          <w:sz w:val="22"/>
        </w:rPr>
        <w:t>The document functions as structural scaffolding rather than substantive communication, making traditional editorial enhancement inapplicable. [1]</w:t>
      </w:r>
    </w:p>
    <w:p/>
    <w:p>
      <w:pPr>
        <w:spacing w:before="400" w:after="120"/>
      </w:pPr>
      <w:r>
        <w:rPr>
          <w:rFonts w:ascii="Calibri" w:hAnsi="Calibri"/>
          <w:b/>
          <w:color w:val="0A1F44"/>
          <w:sz w:val="40"/>
        </w:rPr>
        <w:t>Interpretation Framework</w:t>
      </w:r>
    </w:p>
    <w:p>
      <w:pPr>
        <w:spacing w:after="120"/>
      </w:pPr>
      <w:r>
        <w:rPr>
          <w:rFonts w:ascii="Georgia" w:hAnsi="Georgia"/>
          <w:i/>
          <w:color w:val="4B5563"/>
          <w:sz w:val="22"/>
        </w:rPr>
        <w:t>Three Candidate Readings</w:t>
      </w:r>
    </w:p>
    <w:p>
      <w:pPr>
        <w:spacing w:after="120"/>
      </w:pPr>
      <w:r>
        <w:rPr>
          <w:rFonts w:ascii="Georgia" w:hAnsi="Georgia"/>
          <w:i w:val="0"/>
          <w:color w:val="111827"/>
          <w:sz w:val="22"/>
        </w:rPr>
        <w:t>First hypothesis: user error—wrong document pasted, actual multi-page audit pack awaits separate submission. This would explain instruction-content mismatch.</w:t>
      </w:r>
    </w:p>
    <w:p>
      <w:pPr>
        <w:spacing w:after="120"/>
      </w:pPr>
      <w:r>
        <w:rPr>
          <w:rFonts w:ascii="Georgia" w:hAnsi="Georgia"/>
          <w:i w:val="0"/>
          <w:color w:val="111827"/>
          <w:sz w:val="22"/>
        </w:rPr>
        <w:t>Second hypothesis: intentional test case—minimal content deliberately provided to verify taxonomy routing without requiring full committee pack generation. Title reference to 'QA Chunk 7 regression' supports this reading.</w:t>
      </w:r>
    </w:p>
    <w:p>
      <w:pPr>
        <w:spacing w:after="120"/>
      </w:pPr>
      <w:r>
        <w:rPr>
          <w:rFonts w:ascii="Georgia" w:hAnsi="Georgia"/>
          <w:i w:val="0"/>
          <w:color w:val="111827"/>
          <w:sz w:val="22"/>
        </w:rPr>
        <w:t>Third hypothesis: truncation error—system message indicates 16,000-character limit, suggesting larger source document failed to load. However, character count matches visible content exactly.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QA Team — confirm whether additional audit committee content was intended for enhancement or if two-sentence fixture is complete test case by immediate</w:t>
      </w:r>
    </w:p>
    <w:p>
      <w:pPr>
        <w:spacing w:after="80"/>
      </w:pPr>
      <w:r>
        <w:rPr>
          <w:rFonts w:ascii="Calibri" w:hAnsi="Calibri"/>
          <w:b/>
          <w:color w:val="8B2E2B"/>
          <w:sz w:val="22"/>
        </w:rPr>
        <w:t xml:space="preserve">2.  </w:t>
      </w:r>
      <w:r>
        <w:rPr>
          <w:rFonts w:ascii="Georgia" w:hAnsi="Georgia"/>
          <w:color w:val="111827"/>
          <w:sz w:val="22"/>
        </w:rPr>
        <w:t>Product Team — document expected behavior when enhancement instructions target minimal or metadata-only source artefacts by before next release</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