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 — Date Not Specified</w:t>
      </w:r>
    </w:p>
    <w:p>
      <w:r>
        <w:rPr>
          <w:rFonts w:ascii="Georgia" w:hAnsi="Georgia"/>
          <w:i/>
          <w:color w:val="4B5563"/>
          <w:sz w:val="30"/>
        </w:rPr>
        <w:t>Attendees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04 Jun 2026 · 20:49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the Q1 plan and determine the timing for subsequent review. Two decisions were made: approval of the Q1 plan and scheduling of the next review session. No risk discussion was captured in the original minutes.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Next Review Scheduling</w:t>
      </w:r>
    </w:p>
    <w:p>
      <w:r>
        <w:rPr>
          <w:rFonts w:ascii="Calibri" w:hAnsi="Calibri"/>
          <w:color w:val="111827"/>
          <w:sz w:val="22"/>
        </w:rPr>
        <w:t>03.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reviewed the Q1 plan and approved it without recorded discussion or amendments.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Next Review Scheduling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scheduled the next review session. No details regarding timing or format were captured in the minutes.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risks were identified or discussed during this meeting as recorded in the source minutes.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