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pPr>
            <w:r>
              <w:rPr>
                <w:rFonts w:ascii="Calibri" w:cs="Calibri" w:eastAsia="Calibri" w:hAnsi="Calibri"/>
                <w:b/>
                <w:bCs/>
                <w:color w:val="0D1B2A"/>
                <w:sz w:val="52"/>
                <w:szCs w:val="52"/>
              </w:rPr>
              <w:t xml:space="preserve">LEMASY</w:t>
            </w:r>
          </w:p>
          <w:p>
            <w:pPr>
              <w:spacing w:after="40"/>
            </w:pPr>
            <w:r>
              <w:rPr>
                <w:rFonts w:ascii="Calibri" w:cs="Calibri" w:eastAsia="Calibri" w:hAnsi="Calibri"/>
                <w:color w:val="00B4D8"/>
                <w:sz w:val="22"/>
                <w:szCs w:val="22"/>
              </w:rPr>
              <w:t xml:space="preserve">AI Intelligence Solutions</w:t>
            </w:r>
          </w:p>
          <w:p>
            <w:pPr>
              <w:spacing w:after="40"/>
            </w:pPr>
            <w:r>
              <w:rPr>
                <w:rFonts w:ascii="Calibri" w:cs="Calibri" w:eastAsia="Calibri" w:hAnsi="Calibri"/>
                <w:color w:val="7B8FA6"/>
                <w:sz w:val="18"/>
                <w:szCs w:val="18"/>
              </w:rPr>
              <w:t xml:space="preserve">Nairobi, Kenya  |  Johannesburg, South Africa</w:t>
            </w:r>
          </w:p>
        </w:tc>
        <w:tc>
          <w:tcPr>
            <w:tcW w:type="dxa" w:w="3426"/>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jc w:val="right"/>
            </w:pPr>
            <w:r>
              <w:rPr>
                <w:rFonts w:ascii="Calibri" w:cs="Calibri" w:eastAsia="Calibri" w:hAnsi="Calibri"/>
                <w:b/>
                <w:bCs/>
                <w:color w:val="00B4D8"/>
                <w:sz w:val="17"/>
                <w:szCs w:val="17"/>
              </w:rPr>
              <w:t xml:space="preserve">HUMAN RESOURCES &amp; PEOPLE REPORT — Q1 2025</w:t>
            </w:r>
          </w:p>
          <w:p>
            <w:pPr>
              <w:spacing w:before="40"/>
              <w:jc w:val="right"/>
            </w:pPr>
            <w:r>
              <w:rPr>
                <w:rFonts w:ascii="Calibri" w:cs="Calibri" w:eastAsia="Calibri" w:hAnsi="Calibri"/>
                <w:color w:val="7B8FA6"/>
                <w:sz w:val="16"/>
                <w:szCs w:val="16"/>
              </w:rPr>
              <w:t xml:space="preserve">Q1 2025  |  28 March 2025</w:t>
            </w:r>
          </w:p>
        </w:tc>
      </w:tr>
    </w:tbl>
    <w:p>
      <w:pPr>
        <w:pBdr>
          <w:bottom w:val="single" w:color="00B4D8" w:sz="8" w:space="1"/>
        </w:pBdr>
        <w:spacing w:after="0"/>
      </w:pP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Prepared by</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Ms. Yewande Adeyemi</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Role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Chief People Officer</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Period</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2025 2025  |  January – March 2025</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Submitted to</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Board of Directors</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Date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28 March 2025</w:t>
            </w:r>
          </w:p>
        </w:tc>
      </w:tr>
    </w:tbl>
    <w:p>
      <w:pPr>
        <w:spacing w:after="200" w:before="0"/>
      </w:pPr>
    </w:p>
    <w:p>
      <w:pPr>
        <w:pStyle w:val="Heading1"/>
        <w:spacing w:after="140" w:before="400"/>
      </w:pPr>
      <w:r>
        <w:rPr>
          <w:rFonts w:ascii="Calibri" w:cs="Calibri" w:eastAsia="Calibri" w:hAnsi="Calibri"/>
          <w:b/>
          <w:bCs/>
          <w:color w:val="0D1B2A"/>
          <w:sz w:val="30"/>
          <w:szCs w:val="30"/>
        </w:rPr>
        <w:t xml:space="preserve">1.  People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Metric</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Q1 2025</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Target / Budget</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Total Headcount (end Q1)</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87 FTE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82 FTE budget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Above — 5 ahead of plan</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Kenya-Based Staff</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71 FTE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66% Engineering, 18% Delivery, 16% G&amp;A</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South Africa-Based Staff</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16 FTE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Primarily Sales, Client Success, BD</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New Hires — Q1 2025</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12</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 planned</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Accelerated due to SA demand</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Departures — Q1 2025</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4</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3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Above — 2 engineering exits</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Annualised Attrition</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18.4%</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&lt; 15%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Below target</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Attrition (annualised)</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22.0%</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&lt; 12%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Critical</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Open Engineering Vacancies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7 roles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4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Below target</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Average Time-to-Fill (Engineering)</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74 days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45 days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Too slow</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Training Hours per FTE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12.4 hrs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12 hrs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Employee NPS (eNPS)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42</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40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Women in Technical Roles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34%</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35%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Slightly Below</w:t>
            </w:r>
          </w:p>
        </w:tc>
      </w:tr>
    </w:tbl>
    <w:p>
      <w:pPr>
        <w:spacing w:after="140" w:before="0"/>
      </w:pPr>
    </w:p>
    <w:p>
      <w:pPr>
        <w:pStyle w:val="Heading1"/>
        <w:spacing w:after="140" w:before="400"/>
      </w:pPr>
      <w:r>
        <w:rPr>
          <w:rFonts w:ascii="Calibri" w:cs="Calibri" w:eastAsia="Calibri" w:hAnsi="Calibri"/>
          <w:b/>
          <w:bCs/>
          <w:color w:val="0D1B2A"/>
          <w:sz w:val="30"/>
          <w:szCs w:val="30"/>
        </w:rPr>
        <w:t xml:space="preserve">2.  Headcount by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826"/>
      </w:tblGrid>
      <w:tr>
        <w:tc>
          <w:tcPr>
            <w:tcW w:type="dxa" w:w="2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Function</w:t>
            </w:r>
          </w:p>
        </w:tc>
        <w:tc>
          <w:tcPr>
            <w:tcW w:type="dxa" w:w="1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End Q1</w:t>
            </w:r>
          </w:p>
        </w:tc>
        <w:tc>
          <w:tcPr>
            <w:tcW w:type="dxa" w:w="1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Q4 2024</w:t>
            </w:r>
          </w:p>
        </w:tc>
        <w:tc>
          <w:tcPr>
            <w:tcW w:type="dxa" w:w="1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Open Roles</w:t>
            </w:r>
          </w:p>
        </w:tc>
        <w:tc>
          <w:tcPr>
            <w:tcW w:type="dxa" w:w="1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Attrition %</w:t>
            </w:r>
          </w:p>
        </w:tc>
        <w:tc>
          <w:tcPr>
            <w:tcW w:type="dxa" w:w="18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Note</w:t>
            </w:r>
          </w:p>
        </w:tc>
      </w:tr>
      <w:tr>
        <w:tc>
          <w:tcPr>
            <w:tcW w:type="dxa" w:w="2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&amp; AI/ML</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38</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34</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C0392B"/>
                <w:sz w:val="20"/>
                <w:szCs w:val="20"/>
              </w:rPr>
              <w:t xml:space="preserve">7</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C0392B"/>
                <w:sz w:val="20"/>
                <w:szCs w:val="20"/>
              </w:rPr>
              <w:t xml:space="preserve">22%</w:t>
            </w:r>
          </w:p>
        </w:tc>
        <w:tc>
          <w:tcPr>
            <w:tcW w:type="dxa" w:w="18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Critical — see Section 3</w:t>
            </w:r>
          </w:p>
        </w:tc>
      </w:tr>
      <w:tr>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Product &amp; Design</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0</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0%</w:t>
            </w:r>
          </w:p>
        </w:tc>
        <w:tc>
          <w:tcPr>
            <w:tcW w:type="dxa" w:w="1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Stable</w:t>
            </w:r>
          </w:p>
        </w:tc>
      </w:tr>
      <w:tr>
        <w:tc>
          <w:tcPr>
            <w:tcW w:type="dxa" w:w="2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Client Delivery</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14</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1</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14%</w:t>
            </w:r>
          </w:p>
        </w:tc>
        <w:tc>
          <w:tcPr>
            <w:tcW w:type="dxa" w:w="18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Normal</w:t>
            </w:r>
          </w:p>
        </w:tc>
      </w:tr>
      <w:tr>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Sales &amp; Commercial</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10</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0</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0%</w:t>
            </w:r>
          </w:p>
        </w:tc>
        <w:tc>
          <w:tcPr>
            <w:tcW w:type="dxa" w:w="1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SA-driven growth</w:t>
            </w:r>
          </w:p>
        </w:tc>
      </w:tr>
      <w:tr>
        <w:tc>
          <w:tcPr>
            <w:tcW w:type="dxa" w:w="2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Operations &amp; Finance</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0</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12%</w:t>
            </w:r>
          </w:p>
        </w:tc>
        <w:tc>
          <w:tcPr>
            <w:tcW w:type="dxa" w:w="18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Stable</w:t>
            </w:r>
          </w:p>
        </w:tc>
      </w:tr>
      <w:tr>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Leadership (Founders + C-suite)</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7</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7</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0</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0%</w:t>
            </w:r>
          </w:p>
        </w:tc>
        <w:tc>
          <w:tcPr>
            <w:tcW w:type="dxa" w:w="1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Stable</w:t>
            </w:r>
          </w:p>
        </w:tc>
      </w:tr>
      <w:tr>
        <w:tc>
          <w:tcPr>
            <w:tcW w:type="dxa" w:w="2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TOTAL</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87</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79</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C0392B"/>
                <w:sz w:val="20"/>
                <w:szCs w:val="20"/>
              </w:rPr>
              <w:t xml:space="preserve">8</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C0392B"/>
                <w:sz w:val="20"/>
                <w:szCs w:val="20"/>
              </w:rPr>
              <w:t xml:space="preserve">18.4%</w:t>
            </w:r>
          </w:p>
        </w:tc>
        <w:tc>
          <w:tcPr>
            <w:tcW w:type="dxa" w:w="18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w:r>
          </w:p>
        </w:tc>
      </w:tr>
    </w:tbl>
    <w:p>
      <w:pPr>
        <w:spacing w:after="140" w:before="0"/>
      </w:pPr>
    </w:p>
    <w:p>
      <w:pPr>
        <w:pStyle w:val="Heading1"/>
        <w:spacing w:after="140" w:before="400"/>
      </w:pPr>
      <w:r>
        <w:rPr>
          <w:rFonts w:ascii="Calibri" w:cs="Calibri" w:eastAsia="Calibri" w:hAnsi="Calibri"/>
          <w:b/>
          <w:bCs/>
          <w:color w:val="0D1B2A"/>
          <w:sz w:val="30"/>
          <w:szCs w:val="30"/>
        </w:rPr>
        <w:t xml:space="preserve">3.  Engineering Talent — Board Priority</w:t>
      </w:r>
    </w:p>
    <w:p>
      <w:pPr>
        <w:spacing w:after="120" w:before="80"/>
        <w:jc w:val="both"/>
      </w:pPr>
      <w:r>
        <w:rPr>
          <w:rFonts w:ascii="Calibri" w:cs="Calibri" w:eastAsia="Calibri" w:hAnsi="Calibri"/>
          <w:b w:val="false"/>
          <w:bCs w:val="false"/>
          <w:color w:val="1A1A2E"/>
          <w:sz w:val="22"/>
          <w:szCs w:val="22"/>
        </w:rPr>
        <w:t xml:space="preserve">Engineering attrition at 22% annualised is unacceptable for a company whose core product and delivery capability is entirely people-dependent. The two Q1 departures were both Senior AI Engineers with 2+ years of Lemasy tenure — significant institutional knowledge loss.</w:t>
      </w:r>
    </w:p>
    <w:p>
      <w:pPr>
        <w:spacing w:after="80" w:before="0"/>
      </w:pPr>
    </w:p>
    <w:p>
      <w:pPr>
        <w:pStyle w:val="Heading2"/>
        <w:spacing w:after="100" w:before="280"/>
      </w:pPr>
      <w:r>
        <w:rPr>
          <w:rFonts w:ascii="Calibri" w:cs="Calibri" w:eastAsia="Calibri" w:hAnsi="Calibri"/>
          <w:b/>
          <w:bCs/>
          <w:color w:val="1E3A5F"/>
          <w:sz w:val="24"/>
          <w:szCs w:val="24"/>
        </w:rPr>
        <w:t xml:space="preserve">3.1  Root Cause Analysis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Compensation Gap: Benchmarking in March 2025 confirmed engineering compensation is 14–18% below market median for equivalent roles at Andela, Cellulant, and Scale AI Africa operations in Nairobi.</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Hyperscaler Competition: Google, Microsoft, and AWS have all established African engineering hubs in Nairobi in 2024–2025. They offer total compensation packages (salary + equity + benefits) that are 35–50% above startup-scale equivalents.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Equity Vesting: Our ESOP vesting schedule is 4-year with a 1-year cliff. Engineers who joined 12–18 months ago have not yet vested meaningful equity — the retention hook is weak at the 12–18 month mark.</w:t>
      </w:r>
    </w:p>
    <w:p>
      <w:pPr>
        <w:spacing w:after="80" w:before="0"/>
      </w:pPr>
    </w:p>
    <w:p>
      <w:pPr>
        <w:pStyle w:val="Heading2"/>
        <w:spacing w:after="100" w:before="280"/>
      </w:pPr>
      <w:r>
        <w:rPr>
          <w:rFonts w:ascii="Calibri" w:cs="Calibri" w:eastAsia="Calibri" w:hAnsi="Calibri"/>
          <w:b/>
          <w:bCs/>
          <w:color w:val="1E3A5F"/>
          <w:sz w:val="24"/>
          <w:szCs w:val="24"/>
        </w:rPr>
        <w:t xml:space="preserve">3.2  Proposed Actions — Tabled for Board Approval</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15% Salary Uplift — Engineering Function: Annualised cost USD 0.28M. Brings engineering salaries to the 75th percentile of the Nairobi tech market. Implementation from 1 April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ESOP Top-Up — 4% Additional Pool: Enables refresh grants for existing employees and more competitive new-hire packages. Board approval required. IFRS 2 quarterly charge: USD 44,000.</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Accelerated Vesting for Retention Grants: Propose a one-time retention grant with a 2-year vest (no cliff) for the 8 engineers at highest flight risk. Cost: 0.5% of pool.</w:t>
      </w:r>
    </w:p>
    <w:p>
      <w:pPr>
        <w:spacing w:after="80" w:before="0"/>
      </w:pPr>
    </w:p>
    <w:p>
      <w:pPr>
        <w:pStyle w:val="Heading2"/>
        <w:spacing w:after="100" w:before="280"/>
      </w:pPr>
      <w:r>
        <w:rPr>
          <w:rFonts w:ascii="Calibri" w:cs="Calibri" w:eastAsia="Calibri" w:hAnsi="Calibri"/>
          <w:b/>
          <w:bCs/>
          <w:color w:val="1E3A5F"/>
          <w:sz w:val="24"/>
          <w:szCs w:val="24"/>
        </w:rPr>
        <w:t xml:space="preserve">3.3  Hiring Pipeline —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Metric</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Target</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Trend</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Roles Currently Open (Engineering)</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7</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4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Below Target</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Candidates in Active Pipeline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23</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Offer Stage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4 candidates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Progressing</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Expected Q2 Hires (Engineering)</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4–5</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5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University Pipeline (UoN / Strathmore)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8 final-year students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Internship to hire</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Q3 start</w:t>
            </w:r>
          </w:p>
        </w:tc>
      </w:tr>
    </w:tbl>
    <w:p>
      <w:pPr>
        <w:spacing w:after="140" w:before="0"/>
      </w:pPr>
    </w:p>
    <w:p>
      <w:pPr>
        <w:pStyle w:val="Heading1"/>
        <w:spacing w:after="140" w:before="400"/>
      </w:pPr>
      <w:r>
        <w:rPr>
          <w:rFonts w:ascii="Calibri" w:cs="Calibri" w:eastAsia="Calibri" w:hAnsi="Calibri"/>
          <w:b/>
          <w:bCs/>
          <w:color w:val="0D1B2A"/>
          <w:sz w:val="30"/>
          <w:szCs w:val="30"/>
        </w:rPr>
        <w:t xml:space="preserve">4.  Learning &amp; Development</w:t>
      </w:r>
    </w:p>
    <w:p>
      <w:pPr>
        <w:spacing w:after="120" w:before="80"/>
        <w:jc w:val="both"/>
      </w:pPr>
      <w:r>
        <w:rPr>
          <w:rFonts w:ascii="Calibri" w:cs="Calibri" w:eastAsia="Calibri" w:hAnsi="Calibri"/>
          <w:b w:val="false"/>
          <w:bCs w:val="false"/>
          <w:color w:val="1A1A2E"/>
          <w:sz w:val="22"/>
          <w:szCs w:val="22"/>
        </w:rPr>
        <w:t xml:space="preserve">Training investment in Q1 was USD 48,000 — 1.8% of payroll. The focus was on technical upskilling: Large Language Model (LLM) engineering (12 engineers trained), responsible AI and model governance (all technical staff), and consultative sales training for the South Africa team (8 staff).</w:t>
      </w:r>
    </w:p>
    <w:p>
      <w:pPr>
        <w:spacing w:after="80" w:before="0"/>
      </w:pPr>
    </w:p>
    <w:p>
      <w:pPr>
        <w:spacing w:after="120" w:before="80"/>
        <w:jc w:val="both"/>
      </w:pPr>
      <w:r>
        <w:rPr>
          <w:rFonts w:ascii="Calibri" w:cs="Calibri" w:eastAsia="Calibri" w:hAnsi="Calibri"/>
          <w:b w:val="false"/>
          <w:bCs w:val="false"/>
          <w:color w:val="1A1A2E"/>
          <w:sz w:val="22"/>
          <w:szCs w:val="22"/>
        </w:rPr>
        <w:t xml:space="preserve">From Q2 2025, a structured technical career ladder will be published for engineering roles (L1–L7 levels), providing clarity on progression criteria and compensation bands. This is a key retention lever beyond base pay.</w:t>
      </w:r>
    </w:p>
    <w:p>
      <w:pPr>
        <w:spacing w:after="140" w:before="0"/>
      </w:pPr>
    </w:p>
    <w:p>
      <w:pPr>
        <w:pStyle w:val="Heading1"/>
        <w:spacing w:after="140" w:before="400"/>
      </w:pPr>
      <w:r>
        <w:rPr>
          <w:rFonts w:ascii="Calibri" w:cs="Calibri" w:eastAsia="Calibri" w:hAnsi="Calibri"/>
          <w:b/>
          <w:bCs/>
          <w:color w:val="0D1B2A"/>
          <w:sz w:val="30"/>
          <w:szCs w:val="30"/>
        </w:rPr>
        <w:t xml:space="preserve">5.  Diversity, Equity &amp; Inclusion</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Women in Technical Roles: 34% — slightly below the 35% target. Three of seven open engineering roles are specifically targeting women candidates via HerTech Africa and Nairobi Women in Tech partnerships.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Nationality Diversity: 11 nationalities across the 87-person team. South Africa hiring has added 4 South African nationals to the team.</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The CEO is personally sponsoring one female AI engineer per quarter through the Andela Learning Community mentorship programme.</w:t>
      </w:r>
    </w:p>
    <w:p>
      <w:pPr>
        <w:spacing w:after="140" w:before="0"/>
      </w:pPr>
    </w:p>
    <w:p>
      <w:pPr>
        <w:pStyle w:val="Heading1"/>
        <w:spacing w:after="140" w:before="400"/>
      </w:pPr>
      <w:r>
        <w:rPr>
          <w:rFonts w:ascii="Calibri" w:cs="Calibri" w:eastAsia="Calibri" w:hAnsi="Calibri"/>
          <w:b/>
          <w:bCs/>
          <w:color w:val="0D1B2A"/>
          <w:sz w:val="30"/>
          <w:szCs w:val="30"/>
        </w:rPr>
        <w:t xml:space="preserve">6.  Board Action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2166"/>
        <w:gridCol w:w="2000"/>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43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Action</w:t>
            </w:r>
          </w:p>
        </w:tc>
        <w:tc>
          <w:tcPr>
            <w:tcW w:type="dxa" w:w="216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Deadline</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HR-01</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Salary Uplift: Board to approve 15% salary increase for engineering function — USD 0.28M annualised</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Board — 28 Mar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HR-02</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ESOP Top-Up: Board to approve 4% additional ESOP pool — key talent retention mechanism</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Board — 28 Mar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HR-03</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Technical Career Ladder: CPO to publish engineering career ladder L1–L7 by 30 April 2025</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CPO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HR-04</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Vacancy Update: CPO to report on hiring progress monthly to CEO; Q2 board update on engineering headcount</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CPO</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Jun 2025</w:t>
            </w:r>
          </w:p>
        </w:tc>
      </w:tr>
    </w:tbl>
    <w:p>
      <w:pPr>
        <w:spacing w:after="200" w:before="0"/>
      </w:pPr>
    </w:p>
    <w:p>
      <w:pPr>
        <w:pBdr>
          <w:bottom w:val="single" w:color="7B8FA6" w:sz="4" w:space="1"/>
        </w:pBdr>
        <w:spacing w:after="0"/>
      </w:pPr>
    </w:p>
    <w:p>
      <w:pPr>
        <w:spacing w:after="80" w:before="0"/>
      </w:pPr>
    </w:p>
    <w:p>
      <w:pPr>
        <w:spacing w:after="120" w:before="80"/>
        <w:jc w:val="both"/>
      </w:pPr>
      <w:r>
        <w:rPr>
          <w:rFonts w:ascii="Calibri" w:cs="Calibri" w:eastAsia="Calibri" w:hAnsi="Calibri"/>
          <w:b w:val="false"/>
          <w:bCs w:val="false"/>
          <w:color w:val="7B8FA6"/>
          <w:sz w:val="18"/>
          <w:szCs w:val="18"/>
        </w:rPr>
        <w:t xml:space="preserve">This report has been prepared for the exclusive use of the Board of Directors of Lemasy Limited. The information herein includes proprietary commercial data, client information, and strategic plans. Any reproduction or disclosure to any third party without prior written consent of the CEO is strictly prohibited.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80"/>
    </w:pPr>
    <w:r>
      <w:rPr>
        <w:rFonts w:ascii="Calibri" w:cs="Calibri" w:eastAsia="Calibri" w:hAnsi="Calibri"/>
        <w:color w:val="7B8FA6"/>
        <w:sz w:val="16"/>
        <w:szCs w:val="16"/>
      </w:rPr>
      <w:t xml:space="preserve">STRICTLY CONFIDENTIAL  |  For Board Use Only</w:t>
    </w:r>
    <w:r>
      <w:rPr>
        <w:rFonts w:ascii="Calibri" w:cs="Calibri" w:eastAsia="Calibri" w:hAnsi="Calibri"/>
        <w:sz w:val="16"/>
        <w:szCs w:val="16"/>
      </w:rPr>
      <w:t xml:space="preserve">	</w:t>
    </w:r>
    <w:r>
      <w:rPr>
        <w:rFonts w:ascii="Calibri" w:cs="Calibri" w:eastAsia="Calibri" w:hAnsi="Calibri"/>
        <w:color w:val="7B8FA6"/>
        <w:sz w:val="16"/>
        <w:szCs w:val="16"/>
      </w:rPr>
      <w:t xml:space="preserve">Page </w:t>
    </w:r>
    <w:r>
      <w:rPr>
        <w:rFonts w:ascii="Calibri" w:cs="Calibri" w:eastAsia="Calibri" w:hAnsi="Calibri"/>
        <w:color w:val="7B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80"/>
    </w:pPr>
    <w:r>
      <w:rPr>
        <w:rFonts w:ascii="Calibri" w:cs="Calibri" w:eastAsia="Calibri" w:hAnsi="Calibri"/>
        <w:color w:val="7B8FA6"/>
        <w:sz w:val="17"/>
        <w:szCs w:val="17"/>
      </w:rPr>
      <w:t xml:space="preserve">Lemasy — Human Resources &amp; People Report</w:t>
    </w:r>
    <w:r>
      <w:rPr>
        <w:rFonts w:ascii="Calibri" w:cs="Calibri" w:eastAsia="Calibri" w:hAnsi="Calibri"/>
        <w:sz w:val="17"/>
        <w:szCs w:val="17"/>
      </w:rPr>
      <w:t xml:space="preserve">	</w:t>
    </w:r>
    <w:r>
      <w:rPr>
        <w:rFonts w:ascii="Calibri" w:cs="Calibri" w:eastAsia="Calibri" w:hAnsi="Calibri"/>
        <w:color w:val="7B8FA6"/>
        <w:sz w:val="17"/>
        <w:szCs w:val="17"/>
      </w:rPr>
      <w:t xml:space="preserve">Q1 2025  |  January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0D1B2A"/>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E3A5F"/>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2026-05-01T08:34:32.647Z</dcterms:created>
  <dcterms:modified xsi:type="dcterms:W3CDTF">2026-05-01T08:34:32.647Z</dcterms:modified>
</cp:coreProperties>
</file>

<file path=docProps/custom.xml><?xml version="1.0" encoding="utf-8"?>
<Properties xmlns="http://schemas.openxmlformats.org/officeDocument/2006/custom-properties" xmlns:vt="http://schemas.openxmlformats.org/officeDocument/2006/docPropsVTypes"/>
</file>