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System capability validation exercise</w:t>
      </w:r>
    </w:p>
    <w:p>
      <w:pPr>
        <w:spacing w:before="400"/>
      </w:pPr>
      <w:r>
        <w:rPr>
          <w:rFonts w:ascii="Calibri" w:hAnsi="Calibri"/>
          <w:color w:val="4B5563"/>
          <w:sz w:val="20"/>
        </w:rPr>
        <w:t>Prepared for QA Chunk 7 regression testing  ·  N/A  ·  25 May 2026 · 11:08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test fixture to verify that Committee Pack enhancement capabilities correctly handle edge cases. No substantive audit committee content exists in the source material beyond metadata and self-description. The source artefact contains only a header statement identifying itself as a regression test case, providing no actual committee proceedings, audit findings, risk assessments, or governance matters to enhance. Enhancement cannot proceed without source content addressing audit scope, internal controls, financial reporting oversight, risk management, or compliance matters.</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Feasibility</w:t>
      </w:r>
    </w:p>
    <w:p>
      <w:r>
        <w:rPr>
          <w:rFonts w:ascii="Calibri" w:hAnsi="Calibri"/>
          <w:color w:val="111827"/>
          <w:sz w:val="22"/>
        </w:rPr>
        <w:t>03.  Test Case Interpretation</w:t>
      </w:r>
    </w:p>
    <w:p>
      <w:r>
        <w:rPr>
          <w:rFonts w:ascii="Calibri" w:hAnsi="Calibri"/>
          <w:color w:val="111827"/>
          <w:sz w:val="22"/>
        </w:rPr>
        <w:t>04.  Requirements for Valid Enhancement</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Content availability review</w:t>
      </w:r>
    </w:p>
    <w:p>
      <w:pPr>
        <w:spacing w:after="120"/>
      </w:pPr>
      <w:r>
        <w:rPr>
          <w:rFonts w:ascii="Georgia" w:hAnsi="Georgia"/>
          <w:i w:val="0"/>
          <w:color w:val="111827"/>
          <w:sz w:val="22"/>
        </w:rPr>
        <w:t>The provided source artefact contains approximately 200 characters of metadata describing itself as a QA regression test case. No audit committee proceedings, findings, or recommendations are present.</w:t>
      </w:r>
    </w:p>
    <w:p>
      <w:pPr>
        <w:spacing w:after="120"/>
      </w:pPr>
      <w:r>
        <w:rPr>
          <w:rFonts w:ascii="Georgia" w:hAnsi="Georgia"/>
          <w:i w:val="0"/>
          <w:color w:val="111827"/>
          <w:sz w:val="22"/>
        </w:rPr>
        <w:t>Enhancement requires substantive content addressing audit scope, internal control effectiveness, financial reporting quality, risk management frameworks, or regulatory compliance matters. None of these elements exist in the current source material.</w:t>
      </w:r>
    </w:p>
    <w:p>
      <w:pPr>
        <w:spacing w:after="120"/>
      </w:pPr>
      <w:r>
        <w:rPr>
          <w:rFonts w:ascii="Georgia" w:hAnsi="Georgia"/>
          <w:i w:val="0"/>
          <w:color w:val="111827"/>
          <w:sz w:val="22"/>
        </w:rPr>
        <w:t>The truncation notice indicates the source was limited to 16,000 characters, but the actual content comprises only self-referential description without committee pack substance. [1]</w:t>
      </w:r>
    </w:p>
    <w:p/>
    <w:p>
      <w:pPr>
        <w:spacing w:before="400" w:after="120"/>
      </w:pPr>
      <w:r>
        <w:rPr>
          <w:rFonts w:ascii="Calibri" w:hAnsi="Calibri"/>
          <w:b/>
          <w:color w:val="0A1F44"/>
          <w:sz w:val="40"/>
        </w:rPr>
        <w:t>Enhancement Feasibility</w:t>
      </w:r>
    </w:p>
    <w:p>
      <w:pPr>
        <w:spacing w:after="120"/>
      </w:pPr>
      <w:r>
        <w:rPr>
          <w:rFonts w:ascii="Georgia" w:hAnsi="Georgia"/>
          <w:i/>
          <w:color w:val="4B5563"/>
          <w:sz w:val="22"/>
        </w:rPr>
        <w:t>Structural constraints</w:t>
      </w:r>
    </w:p>
    <w:p>
      <w:pPr>
        <w:spacing w:after="120"/>
      </w:pPr>
      <w:r>
        <w:rPr>
          <w:rFonts w:ascii="Georgia" w:hAnsi="Georgia"/>
          <w:i w:val="0"/>
          <w:color w:val="111827"/>
          <w:sz w:val="22"/>
        </w:rPr>
        <w:t>Tightening language requires existing language to compress. The source provides no audit findings, control deficiencies, risk assessments, or management responses that could be refined for committee consumption.</w:t>
      </w:r>
    </w:p>
    <w:p>
      <w:pPr>
        <w:spacing w:after="120"/>
      </w:pPr>
      <w:r>
        <w:rPr>
          <w:rFonts w:ascii="Georgia" w:hAnsi="Georgia"/>
          <w:i w:val="0"/>
          <w:color w:val="111827"/>
          <w:sz w:val="22"/>
        </w:rPr>
        <w:t>Producing committee pack content without factual grounding would constitute hallucination, violating core operating principles around evidence-based communication.</w:t>
      </w:r>
    </w:p>
    <w:p>
      <w:pPr>
        <w:spacing w:after="120"/>
      </w:pPr>
      <w:r>
        <w:rPr>
          <w:rFonts w:ascii="Georgia" w:hAnsi="Georgia"/>
          <w:i w:val="0"/>
          <w:color w:val="111827"/>
          <w:sz w:val="22"/>
        </w:rPr>
        <w:t>Valid enhancement would require source material containing: audit scope and methodology, findings categorized by severity, management's remediation plans, timeline commitments, and residual risk assessments. [1]</w:t>
      </w:r>
    </w:p>
    <w:p/>
    <w:p>
      <w:pPr>
        <w:spacing w:before="400" w:after="120"/>
      </w:pPr>
      <w:r>
        <w:rPr>
          <w:rFonts w:ascii="Calibri" w:hAnsi="Calibri"/>
          <w:b/>
          <w:color w:val="0A1F44"/>
          <w:sz w:val="40"/>
        </w:rPr>
        <w:t>Test Case Interpretation</w:t>
      </w:r>
    </w:p>
    <w:p>
      <w:pPr>
        <w:spacing w:after="120"/>
      </w:pPr>
      <w:r>
        <w:rPr>
          <w:rFonts w:ascii="Georgia" w:hAnsi="Georgia"/>
          <w:i/>
          <w:color w:val="4B5563"/>
          <w:sz w:val="22"/>
        </w:rPr>
        <w:t>QA validation context</w:t>
      </w:r>
    </w:p>
    <w:p>
      <w:pPr>
        <w:spacing w:after="120"/>
      </w:pPr>
      <w:r>
        <w:rPr>
          <w:rFonts w:ascii="Georgia" w:hAnsi="Georgia"/>
          <w:i w:val="0"/>
          <w:color w:val="111827"/>
          <w:sz w:val="22"/>
        </w:rPr>
        <w:t>The document explicitly identifies itself as verification that Committee Pack is now a first-class enhancement type. This framing suggests the primary purpose is system capability testing rather than substantive content delivery.</w:t>
      </w:r>
    </w:p>
    <w:p>
      <w:pPr>
        <w:spacing w:after="120"/>
      </w:pPr>
      <w:r>
        <w:rPr>
          <w:rFonts w:ascii="Georgia" w:hAnsi="Georgia"/>
          <w:i w:val="0"/>
          <w:color w:val="111827"/>
          <w:sz w:val="22"/>
        </w:rPr>
        <w:t>Correct handling of this edge case requires recognizing when source material is insufficient, rather than generating plausible but unfounded committee language.</w:t>
      </w:r>
    </w:p>
    <w:p>
      <w:pPr>
        <w:spacing w:after="120"/>
      </w:pPr>
      <w:r>
        <w:rPr>
          <w:rFonts w:ascii="Georgia" w:hAnsi="Georgia"/>
          <w:i w:val="0"/>
          <w:color w:val="111827"/>
          <w:sz w:val="22"/>
        </w:rPr>
        <w:t>A production-grade audit committee pack would contain sections on internal audit findings, external audit coordination, regulatory compliance status, emerging risks, and follow-up on prior period recommendations. [1]</w:t>
      </w:r>
    </w:p>
    <w:p/>
    <w:p>
      <w:pPr>
        <w:spacing w:before="400" w:after="120"/>
      </w:pPr>
      <w:r>
        <w:rPr>
          <w:rFonts w:ascii="Calibri" w:hAnsi="Calibri"/>
          <w:b/>
          <w:color w:val="0A1F44"/>
          <w:sz w:val="40"/>
        </w:rPr>
        <w:t>Requirements for Valid Enhancement</w:t>
      </w:r>
    </w:p>
    <w:p>
      <w:pPr>
        <w:spacing w:after="120"/>
      </w:pPr>
      <w:r>
        <w:rPr>
          <w:rFonts w:ascii="Georgia" w:hAnsi="Georgia"/>
          <w:i/>
          <w:color w:val="4B5563"/>
          <w:sz w:val="22"/>
        </w:rPr>
        <w:t>Content prerequisites</w:t>
      </w:r>
    </w:p>
    <w:p>
      <w:pPr>
        <w:spacing w:after="120"/>
      </w:pPr>
      <w:r>
        <w:rPr>
          <w:rFonts w:ascii="Georgia" w:hAnsi="Georgia"/>
          <w:i w:val="0"/>
          <w:color w:val="111827"/>
          <w:sz w:val="22"/>
        </w:rPr>
        <w:t>To produce a tightened audit committee pack, the source must include: specific audit observations with severity classifications, root cause analysis, management's action plans with owners and deadlines, and key performance indicators for control environment health.</w:t>
      </w:r>
    </w:p>
    <w:p>
      <w:pPr>
        <w:spacing w:after="120"/>
      </w:pPr>
      <w:r>
        <w:rPr>
          <w:rFonts w:ascii="Georgia" w:hAnsi="Georgia"/>
          <w:i w:val="0"/>
          <w:color w:val="111827"/>
          <w:sz w:val="22"/>
        </w:rPr>
        <w:t>Committee packs typically span 15-40 pages covering financial reporting oversight, internal control effectiveness, fraud risk assessment, whistleblower activity, regulatory examination results, and significant accounting judgments.</w:t>
      </w:r>
    </w:p>
    <w:p>
      <w:pPr>
        <w:spacing w:after="120"/>
      </w:pPr>
      <w:r>
        <w:rPr>
          <w:rFonts w:ascii="Georgia" w:hAnsi="Georgia"/>
          <w:i w:val="0"/>
          <w:color w:val="111827"/>
          <w:sz w:val="22"/>
        </w:rPr>
        <w:t>Enhancement instructions can then be applied: eliminating redundancy, elevating decision-relevant content, ensuring materiality thresholds are explicit, and structuring for rapid executive comprehension.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testing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