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Regression Test</w:t>
      </w:r>
    </w:p>
    <w:p>
      <w:r>
        <w:rPr>
          <w:rFonts w:ascii="Georgia" w:hAnsi="Georgia"/>
          <w:i/>
          <w:color w:val="4B5563"/>
          <w:sz w:val="30"/>
        </w:rPr>
        <w:t>Quality assurance validation for committee pack enhancement workflow</w:t>
      </w:r>
    </w:p>
    <w:p>
      <w:pPr>
        <w:spacing w:before="400"/>
      </w:pPr>
      <w:r>
        <w:rPr>
          <w:rFonts w:ascii="Calibri" w:hAnsi="Calibri"/>
          <w:color w:val="4B5563"/>
          <w:sz w:val="20"/>
        </w:rPr>
        <w:t>Prepared for QA Chunk 7 Regression  ·  Test Cycle  ·  28 May 2026 · 07:16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pack validates that Committee Pack is now a first-class enhance kind within the AKKI system. The regression test confirms the enhancement pathway correctly activates domain-appropriate standards for audit committee materials, including governance precision, fiduciary clarity, and decision-maker focus. The workflow successfully processes committee pack artifacts through the full enhancement cycle.</w:t>
      </w:r>
    </w:p>
    <w:p>
      <w:r>
        <w:br w:type="page"/>
      </w:r>
    </w:p>
    <w:p>
      <w:pPr>
        <w:spacing w:before="400" w:after="120"/>
      </w:pPr>
      <w:r>
        <w:rPr>
          <w:rFonts w:ascii="Calibri" w:hAnsi="Calibri"/>
          <w:b/>
          <w:color w:val="0A1F44"/>
          <w:sz w:val="40"/>
        </w:rPr>
        <w:t>Index</w:t>
      </w:r>
    </w:p>
    <w:p>
      <w:r>
        <w:rPr>
          <w:rFonts w:ascii="Calibri" w:hAnsi="Calibri"/>
          <w:color w:val="111827"/>
          <w:sz w:val="22"/>
        </w:rPr>
        <w:t>01.  Workflow Validation</w:t>
      </w:r>
    </w:p>
    <w:p>
      <w:r>
        <w:rPr>
          <w:rFonts w:ascii="Calibri" w:hAnsi="Calibri"/>
          <w:color w:val="111827"/>
          <w:sz w:val="22"/>
        </w:rPr>
        <w:t>02.  Domain Standards Application</w:t>
      </w:r>
    </w:p>
    <w:p>
      <w:r>
        <w:rPr>
          <w:rFonts w:ascii="Calibri" w:hAnsi="Calibri"/>
          <w:color w:val="111827"/>
          <w:sz w:val="22"/>
        </w:rPr>
        <w:t>03.  System Capability Confirmation</w:t>
      </w:r>
    </w:p>
    <w:p>
      <w:r>
        <w:rPr>
          <w:rFonts w:ascii="Calibri" w:hAnsi="Calibri"/>
          <w:color w:val="111827"/>
          <w:sz w:val="22"/>
        </w:rPr>
        <w:t>04.  Test Artifact Characteristics</w:t>
      </w:r>
    </w:p>
    <w:p>
      <w:r>
        <w:br w:type="page"/>
      </w:r>
    </w:p>
    <w:p>
      <w:pPr>
        <w:spacing w:before="400" w:after="120"/>
      </w:pPr>
      <w:r>
        <w:rPr>
          <w:rFonts w:ascii="Calibri" w:hAnsi="Calibri"/>
          <w:b/>
          <w:color w:val="0A1F44"/>
          <w:sz w:val="40"/>
        </w:rPr>
        <w:t>Workflow Validation</w:t>
      </w:r>
    </w:p>
    <w:p>
      <w:pPr>
        <w:spacing w:after="120"/>
      </w:pPr>
      <w:r>
        <w:rPr>
          <w:rFonts w:ascii="Georgia" w:hAnsi="Georgia"/>
          <w:i/>
          <w:color w:val="4B5563"/>
          <w:sz w:val="22"/>
        </w:rPr>
        <w:t>Enhancement pathway activation</w:t>
      </w:r>
    </w:p>
    <w:p>
      <w:pPr>
        <w:spacing w:after="120"/>
      </w:pPr>
      <w:r>
        <w:rPr>
          <w:rFonts w:ascii="Georgia" w:hAnsi="Georgia"/>
          <w:i w:val="0"/>
          <w:color w:val="111827"/>
          <w:sz w:val="22"/>
        </w:rPr>
        <w:t>The system correctly identified the source artifact as committee_pack kind and routed it through the appropriate enhancement workflow. Domain-specific reasoning activated, applying audit committee governance standards to the enhancement task.</w:t>
      </w:r>
    </w:p>
    <w:p>
      <w:pPr>
        <w:spacing w:after="120"/>
      </w:pPr>
      <w:r>
        <w:rPr>
          <w:rFonts w:ascii="Georgia" w:hAnsi="Georgia"/>
          <w:i w:val="0"/>
          <w:color w:val="111827"/>
          <w:sz w:val="22"/>
        </w:rPr>
        <w:t>The enhancement process demonstrated proper constraint handling, recognizing the minimal source content while maintaining readiness to apply substantive improvements to fuller committee materials. The workflow successfully completed without errors.</w:t>
      </w:r>
    </w:p>
    <w:p>
      <w:pPr>
        <w:spacing w:after="120"/>
      </w:pPr>
      <w:r>
        <w:rPr>
          <w:rFonts w:ascii="Georgia" w:hAnsi="Georgia"/>
          <w:i w:val="0"/>
          <w:color w:val="111827"/>
          <w:sz w:val="22"/>
        </w:rPr>
        <w:t>For production use, audit committee packs should contain executive summaries of the control environment, material audit findings, risk register changes, compliance status updates, management responses with specific timelines, and prior period action closure status. [1]</w:t>
      </w:r>
    </w:p>
    <w:p/>
    <w:p>
      <w:pPr>
        <w:spacing w:before="400" w:after="120"/>
      </w:pPr>
      <w:r>
        <w:rPr>
          <w:rFonts w:ascii="Calibri" w:hAnsi="Calibri"/>
          <w:b/>
          <w:color w:val="0A1F44"/>
          <w:sz w:val="40"/>
        </w:rPr>
        <w:t>Domain Standards Application</w:t>
      </w:r>
    </w:p>
    <w:p>
      <w:pPr>
        <w:spacing w:after="120"/>
      </w:pPr>
      <w:r>
        <w:rPr>
          <w:rFonts w:ascii="Georgia" w:hAnsi="Georgia"/>
          <w:i/>
          <w:color w:val="4B5563"/>
          <w:sz w:val="22"/>
        </w:rPr>
        <w:t>Audit committee writing principles</w:t>
      </w:r>
    </w:p>
    <w:p>
      <w:pPr>
        <w:spacing w:after="120"/>
      </w:pPr>
      <w:r>
        <w:rPr>
          <w:rFonts w:ascii="Georgia" w:hAnsi="Georgia"/>
          <w:i w:val="0"/>
          <w:color w:val="111827"/>
          <w:sz w:val="22"/>
        </w:rPr>
        <w:t>Enhancement of audit committee materials requires precision that withstands fiduciary scrutiny. Every claim must trace to evidence, every commitment must specify owner and deadline, every risk assessment must avoid hedging language.</w:t>
      </w:r>
    </w:p>
    <w:p>
      <w:pPr>
        <w:spacing w:after="120"/>
      </w:pPr>
      <w:r>
        <w:rPr>
          <w:rFonts w:ascii="Georgia" w:hAnsi="Georgia"/>
          <w:i w:val="0"/>
          <w:color w:val="111827"/>
          <w:sz w:val="22"/>
        </w:rPr>
        <w:t>Tightening for audit committees means removing passive voice from accountability sections, making management commitments measurable, and eliminating redundancy that obscures decision points. The standard is: can a non-executive director act on this information immediately.</w:t>
      </w:r>
    </w:p>
    <w:p>
      <w:pPr>
        <w:spacing w:after="120"/>
      </w:pPr>
      <w:r>
        <w:rPr>
          <w:rFonts w:ascii="Georgia" w:hAnsi="Georgia"/>
          <w:i w:val="0"/>
          <w:color w:val="111827"/>
          <w:sz w:val="22"/>
        </w:rPr>
        <w:t>The Economist test, senior peer test, and restraint test apply with particular force to governance materials. Board members expect substance without glazing, facts without filler. [1]</w:t>
      </w:r>
    </w:p>
    <w:p/>
    <w:p>
      <w:pPr>
        <w:spacing w:before="400" w:after="120"/>
      </w:pPr>
      <w:r>
        <w:rPr>
          <w:rFonts w:ascii="Calibri" w:hAnsi="Calibri"/>
          <w:b/>
          <w:color w:val="0A1F44"/>
          <w:sz w:val="40"/>
        </w:rPr>
        <w:t>System Capability Confirmation</w:t>
      </w:r>
    </w:p>
    <w:p>
      <w:pPr>
        <w:spacing w:after="120"/>
      </w:pPr>
      <w:r>
        <w:rPr>
          <w:rFonts w:ascii="Georgia" w:hAnsi="Georgia"/>
          <w:i/>
          <w:color w:val="4B5563"/>
          <w:sz w:val="22"/>
        </w:rPr>
        <w:t>First-class kind status verified</w:t>
      </w:r>
    </w:p>
    <w:p>
      <w:pPr>
        <w:spacing w:after="120"/>
      </w:pPr>
      <w:r>
        <w:rPr>
          <w:rFonts w:ascii="Georgia" w:hAnsi="Georgia"/>
          <w:i w:val="0"/>
          <w:color w:val="111827"/>
          <w:sz w:val="22"/>
        </w:rPr>
        <w:t>The regression test confirms Committee Pack now functions as a first-class enhance kind. The system correctly parsed the kind identifier, activated appropriate domain reasoning, and maintained governance standards throughout processing.</w:t>
      </w:r>
    </w:p>
    <w:p>
      <w:pPr>
        <w:spacing w:after="120"/>
      </w:pPr>
      <w:r>
        <w:rPr>
          <w:rFonts w:ascii="Georgia" w:hAnsi="Georgia"/>
          <w:i w:val="0"/>
          <w:color w:val="111827"/>
          <w:sz w:val="22"/>
        </w:rPr>
        <w:t>Enhancement pathways for committee materials now match those available for other artifact types, while preserving the specialized requirements of board-level documentation. The workflow handles committee pack metadata, structure, and content requirements without manual intervention. [1]</w:t>
      </w:r>
    </w:p>
    <w:p/>
    <w:p>
      <w:pPr>
        <w:spacing w:before="400" w:after="120"/>
      </w:pPr>
      <w:r>
        <w:rPr>
          <w:rFonts w:ascii="Calibri" w:hAnsi="Calibri"/>
          <w:b/>
          <w:color w:val="0A1F44"/>
          <w:sz w:val="40"/>
        </w:rPr>
        <w:t>Test Artifact Characteristics</w:t>
      </w:r>
    </w:p>
    <w:p>
      <w:pPr>
        <w:spacing w:after="120"/>
      </w:pPr>
      <w:r>
        <w:rPr>
          <w:rFonts w:ascii="Georgia" w:hAnsi="Georgia"/>
          <w:i/>
          <w:color w:val="4B5563"/>
          <w:sz w:val="22"/>
        </w:rPr>
        <w:t>Regression scope and limitations</w:t>
      </w:r>
    </w:p>
    <w:p>
      <w:pPr>
        <w:spacing w:after="120"/>
      </w:pPr>
      <w:r>
        <w:rPr>
          <w:rFonts w:ascii="Georgia" w:hAnsi="Georgia"/>
          <w:i w:val="0"/>
          <w:color w:val="111827"/>
          <w:sz w:val="22"/>
        </w:rPr>
        <w:t>The source artifact contains 47 words of self-referential test scaffolding. This minimal content validates workflow mechanics rather than demonstrating full enhancement capability on substantive audit committee materials.</w:t>
      </w:r>
    </w:p>
    <w:p>
      <w:pPr>
        <w:spacing w:after="120"/>
      </w:pPr>
      <w:r>
        <w:rPr>
          <w:rFonts w:ascii="Georgia" w:hAnsi="Georgia"/>
          <w:i w:val="0"/>
          <w:color w:val="111827"/>
          <w:sz w:val="22"/>
        </w:rPr>
        <w:t>Production committee packs typically span multiple sections covering control environment assessment, internal and external audit findings, risk movements, compliance status, and action tracking. The test artifact deliberately omits this content to isolate workflow validation.</w:t>
      </w:r>
    </w:p>
    <w:p>
      <w:pPr>
        <w:spacing w:after="120"/>
      </w:pPr>
      <w:r>
        <w:rPr>
          <w:rFonts w:ascii="Georgia" w:hAnsi="Georgia"/>
          <w:i w:val="0"/>
          <w:color w:val="111827"/>
          <w:sz w:val="22"/>
        </w:rPr>
        <w:t>Future regression tests should include representative content across all standard audit committee pack sections to validate enhancement quality alongside workflow correctness.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 expand regression test suite to include representative audit committee content across all standard pack sections by next test cycle</w:t>
      </w:r>
    </w:p>
    <w:p>
      <w:pPr>
        <w:spacing w:after="80"/>
      </w:pPr>
      <w:r>
        <w:rPr>
          <w:rFonts w:ascii="Calibri" w:hAnsi="Calibri"/>
          <w:b/>
          <w:color w:val="8B2E2B"/>
          <w:sz w:val="22"/>
        </w:rPr>
        <w:t xml:space="preserve">2.  </w:t>
      </w:r>
      <w:r>
        <w:rPr>
          <w:rFonts w:ascii="Georgia" w:hAnsi="Georgia"/>
          <w:color w:val="111827"/>
          <w:sz w:val="22"/>
        </w:rPr>
        <w:t>Product team — document committee pack enhancement standards in user-facing guidance by before production release</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