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entury Schoolbook" w:hAnsi="Century Schoolbook"/>
          <w:color w:val="1B1B1F"/>
          <w:sz w:val="48"/>
        </w:rPr>
        <w:t>Estate intelligence — eij-1b359b3cbd2e</w:t>
      </w:r>
    </w:p>
    <w:p>
      <w:pPr>
        <w:spacing w:after="200"/>
      </w:pPr>
      <w:r>
        <w:rPr>
          <w:i w:val="0"/>
          <w:color w:val="6E6E73"/>
          <w:sz w:val="17"/>
        </w:rPr>
        <w:t>Commission-close paper for the estate owner  ·  RMS</w:t>
      </w:r>
    </w:p>
    <w:p>
      <w:pPr>
        <w:pStyle w:val="Heading1"/>
      </w:pPr>
      <w:r>
        <w:t>Summary</w:t>
      </w:r>
    </w:p>
    <w:p>
      <w:r>
        <w:t>351.3 GiB sit in 20 databases and 1006 tables. 259.3m rows are held; 71 table pairs duplicate each other.</w:t>
      </w:r>
    </w:p>
    <w:p>
      <w:r>
        <w:t>About 15.2 GiB (4.3% of database bytes) looks reclaimable in the databases before pricing. Rights are declared at Connect, not measured by the census; every candidate is aggregate or de-identified. This paper sets out the measured evidence; the decision is the estate owner's.</w:t>
      </w:r>
    </w:p>
    <w:p>
      <w:pPr>
        <w:pStyle w:val="Heading1"/>
      </w:pPr>
      <w:r>
        <w:t>1. What the estate holds and how it is conditioned</w:t>
      </w:r>
    </w:p>
    <w:p>
      <w:r>
        <w:t>The largest databases hold 99.7% of the estate's bytes. Exact duplicates are 1.5% of rows; degraded rows 23.0%; empty required fields 81.7%.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E6E73"/>
          <w:sz w:val="17"/>
        </w:rPr>
        <w:t>Figure: Measures cover 63.4% of tables; the remaining ratios are estimated from stratified samples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[estimated]  Receipt R01: Estate intelligence census eij-1b359b3cbd2e, digest-verified report (measured 2026-09-29), headline aggregates and per-database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FEFF1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4706"/>
            <w:shd w:val="clear" w:color="auto" w:fill="EFEFF1"/>
          </w:tcPr>
          <w:p>
            <w:r/>
            <w:r>
              <w:rPr>
                <w:b/>
                <w:sz w:val="19"/>
              </w:rPr>
              <w:t>GiB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viusasa_staging (D)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338.50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razuna (D)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4.50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db_visitors (D)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2.70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kra_reports (D)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1.50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viupay_agent_staging (A)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1.20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news_vault (C)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0.90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local (D)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0.50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viutickets (B)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0.40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Data and index by database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Estate intelligence census eij-1b359b3cbd2e, digest-verified report (measured 2026-09-29), headline aggregates and per-database measures</w:t>
      </w:r>
    </w:p>
    <w:p>
      <w:r>
        <w:t>71.8% of 1.0m sampled rows carry PII markers. 15.4% of bytes have not been written for over a year; 368 tables are empty. Dead columns are 13.0% of measured columns.</w:t>
      </w:r>
    </w:p>
    <w:p>
      <w:pPr>
        <w:pStyle w:val="Heading1"/>
      </w:pPr>
      <w:r>
        <w:t>2. What it costs to keep</w:t>
      </w:r>
    </w:p>
    <w:p>
      <w:r>
        <w:t>About 15.2 GiB (4.3% of database bytes) looks reclaimable in the databases before pricing. Priced strategies bound the monthly saving at 1,174.4 USD at reference list prices.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E6E73"/>
          <w:sz w:val="17"/>
        </w:rPr>
        <w:t>Figure: Three strategies address 100.0% of the 50,799.8 GiB that all cost strategies reach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[estimated]  Receipt R02: Estate intelligence census eij-1b359b3cbd2e, cost_strategies priced at reference list prices, not the owner's invoice: Huawei Cloud RDS for MySQL cloud SSD AF-Johannesburg 0.00015 USD/GB-hour x 730 h; OBS Standard 0.023 USD/GB-month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Move buckets not written for over a year to archive-class st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Reconcile duplicate objects across OBS buckets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Move tables not written for over a year to cold storage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Bytes addressed (GiB)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42,891.0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7,839.5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54.1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Monthly saving (USD)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986.5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180.3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5.9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Share of bytes addressed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84.4%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15.4%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0.1%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Costed strategies; all figures estimated at reference list prices, receipts in appendix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[estimated]  Receipt R02: Estate intelligence census eij-1b359b3cbd2e, cost_strategies priced at reference list prices, not the owner's invoice: Huawei Cloud RDS for MySQL cloud SSD AF-Johannesburg 0.00015 USD/GB-hour x 730 h; OBS Standard 0.023 USD/GB-month</w:t>
      </w:r>
    </w:p>
    <w:p>
      <w:pPr>
        <w:pStyle w:val="Heading1"/>
      </w:pPr>
      <w:r>
        <w:t>3. What the data can do</w:t>
      </w:r>
    </w:p>
    <w:p>
      <w:r>
        <w:t>8 product candidates rank by rows, readiness and dimensions. Rights are declared at Connect, not measured by the census; every candidate is aggregate or de-identified.</w:t>
      </w:r>
    </w:p>
    <w:p>
      <w:r>
        <w:t>Reference and master-data licensing: grade C, 87 tables, 123,394,159 rows (est.); blockers: 62.0% of supporting tables carry PII markers: de-identify or aggregate before any release · use rights are declared at Connect, not measured: a release needs its own grant and purpose.</w:t>
      </w:r>
    </w:p>
    <w:p>
      <w:r>
        <w:t>Content catalogue, recommendation and licensing corpus: grade C, 98 tables, 157,855,990 rows (est.); blockers: 74.0% of supporting tables carry PII markers: de-identify or aggregate before any release · use rights are declared at Connect, not measured: a release needs its own grant and purpose.</w:t>
      </w:r>
    </w:p>
    <w:p>
      <w:r>
        <w:t>Channel / telco engagement analytics (USSD, SMS, app): grade C, 57 tables, 116,781,903 rows (est.); blockers: 79.0% of supporting tables carry PII markers: de-identify or aggregate before any release · use rights are declared at Connect, not measured: a release needs its own grant and purpose.</w:t>
      </w:r>
    </w:p>
    <w:p>
      <w:pPr>
        <w:pStyle w:val="Heading1"/>
      </w:pPr>
      <w:r>
        <w:t>4. Coverage and limits</w:t>
      </w:r>
    </w:p>
    <w:p>
      <w:r>
        <w:t>Covers: 20 databases, 1,006 tables and 351.3 GiB measured by census eij-1b359b3cbd2e; ratios are complete-pass where the table allowed it and stratified samples elsewhere. No row value is present in this pack.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Duplicate, damage, empty-field and PII ratios on sampled tables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complete passes where the table allowed it, stratified samples elsewhere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 complete-pass census on the sampled tables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Rights, licences and semantic similarity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not measured; candidates are dimensional readiness only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rights declared at Connect and bound to each candidate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Connection artists_app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could not be read (MySQL GRANT pending)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grants read access; re-census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NAS duplication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enumeration recorded sizes and dates, not content fingerprints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 fingerprinting pass over the NAS shares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40 of 106 OBS buckets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unreachable (NoSuchBucket / client errors)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bucket inventory reconciled with the provider</w:t>
            </w:r>
          </w:p>
        </w:tc>
      </w:tr>
    </w:tbl>
    <w:p>
      <w:pPr>
        <w:pStyle w:val="Heading1"/>
      </w:pPr>
      <w:r>
        <w:t>Appendix: receipts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FEFF1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FEFF1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Estate intelligence census eij-1b359b3cbd2e, digest-verified report (measured 2026-09-29), headline aggregates and per-database measures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Estate intelligence census eij-1b359b3cbd2e, cost_strategies priced at reference list prices, not the owner's invoice: Huawei Cloud RDS for MySQL cloud SSD AF-Johannesburg 0.00015 USD/GB-hour x 730 h; OBS Standard 0.023 USD/GB-month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Estate intelligence census eij-1b359b3cbd2e, data_products readiness scoring (dimensions, grades, blockers)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R04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OBS bucket enumeration census run cr-f1415e395361 (22,975,591 objects, 130.3 TiB)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R05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NAS share enumeration census run cr-cf4eef79995b (1,456,787 files, 43.6 TiB)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E6E73"/>
        <w:sz w:val="16"/>
      </w:rPr>
      <w:t xml:space="preserve">EI-eij-1b359b3cbd2e (paper)   ·   Tenant confidential   ·   page </w:t>
    </w:r>
    <w:r>
      <w:rPr>
        <w:color w:val="6E6E73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B1B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Schoolbook" w:hAnsi="Century Schoolbook" w:eastAsia="Century Schoolbook" w:cs="Century Schoolbook"/>
      <w:b w:val="0"/>
      <w:bCs/>
      <w:color w:val="1B1B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Schoolbook" w:hAnsi="Century Schoolbook" w:eastAsia="Century Schoolbook" w:cs="Century Schoolbook"/>
      <w:b/>
      <w:bCs/>
      <w:color w:val="1B1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Estate intelligence — eij-1b359b3cbd2e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2026-10-01T06:57:00Z</dcterms:created>
  <dcterms:modified xsi:type="dcterms:W3CDTF">2026-10-01T06:57:00Z</dcterms:modified>
  <cp:category/>
</cp:coreProperties>
</file>