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6 OF 9</w:t>
      </w:r>
    </w:p>
    <w:p>
      <w:pPr>
        <w:spacing w:after="60" w:before="120"/>
      </w:pPr>
      <w:r>
        <w:rPr>
          <w:rFonts w:ascii="Georgia" w:cs="Georgia" w:eastAsia="Georgia" w:hAnsi="Georgia"/>
          <w:b/>
          <w:bCs/>
          <w:color w:val="1B3350"/>
          <w:sz w:val="40"/>
          <w:szCs w:val="40"/>
        </w:rPr>
        <w:t xml:space="preserve">Akki User Journeys</w:t>
      </w:r>
    </w:p>
    <w:p>
      <w:pPr>
        <w:spacing w:after="260"/>
      </w:pPr>
      <w:r>
        <w:rPr>
          <w:rFonts w:ascii="Georgia" w:cs="Georgia" w:eastAsia="Georgia" w:hAnsi="Georgia"/>
          <w:i/>
          <w:iCs/>
          <w:color w:val="4A4A44"/>
          <w:sz w:val="22"/>
          <w:szCs w:val="22"/>
        </w:rPr>
        <w:t xml:space="preserve">Every journey from founding an instance through the working rhythm an organisation settles into, and how they compound into one loop</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Register and Scope</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How to Read This Document</w:t>
      </w:r>
    </w:p>
    <w:p>
      <w:pPr>
        <w:spacing w:after="150" w:line="292"/>
      </w:pPr>
      <w:r>
        <w:rPr>
          <w:rFonts w:ascii="Calibri" w:cs="Calibri" w:eastAsia="Calibri" w:hAnsi="Calibri"/>
          <w:b w:val="false"/>
          <w:bCs w:val="false"/>
          <w:i w:val="false"/>
          <w:iCs w:val="false"/>
          <w:color w:val="1A1A17"/>
          <w:sz w:val="20"/>
          <w:szCs w:val="20"/>
        </w:rPr>
        <w:t xml:space="preserve">This document walks every journey the platform serves, from founding an instance through the rhythm an organisation settles into once one has been running for months. Each journey states who performs it, what it produces, and how it unfolds — cross-referenced to the exact mechanics specified in the documents before this one, never restated from memory.</w:t>
      </w:r>
    </w:p>
    <w:p>
      <w:pPr>
        <w:spacing w:after="150" w:line="292"/>
      </w:pPr>
      <w:r>
        <w:rPr>
          <w:rFonts w:ascii="Calibri" w:cs="Calibri" w:eastAsia="Calibri" w:hAnsi="Calibri"/>
          <w:b w:val="false"/>
          <w:bCs w:val="false"/>
          <w:i w:val="false"/>
          <w:iCs w:val="false"/>
          <w:color w:val="1A1A17"/>
          <w:sz w:val="20"/>
          <w:szCs w:val="20"/>
        </w:rPr>
        <w:t xml:space="preserve">A journey is not a permission grant. What a person may actually do is specified in Documents 1, 3, and 7; what follows here is what doing it feels like and looks like. The two must never be read as contradicting each other — where this document says a business user asks a question, Document 3’s authority model is what actually admits or refuses that question underneath.</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Role Register</w:t>
      </w:r>
    </w:p>
    <w:p>
      <w:pPr>
        <w:spacing w:after="150" w:line="292"/>
      </w:pPr>
      <w:r>
        <w:rPr>
          <w:rFonts w:ascii="Calibri" w:cs="Calibri" w:eastAsia="Calibri" w:hAnsi="Calibri"/>
          <w:b w:val="false"/>
          <w:bCs w:val="false"/>
          <w:i w:val="false"/>
          <w:iCs w:val="false"/>
          <w:color w:val="1A1A17"/>
          <w:sz w:val="20"/>
          <w:szCs w:val="20"/>
        </w:rPr>
        <w:t xml:space="preserve">The platform names its authorities formally where precision matters — in the doctrine, the access model, and the governance engines specified earlier in this canon — and addresses the same people in plain language wherever they are actually working. Both are correct; neither supersedes the other. This document uses the plain-language address throughout, because it describes lived experience rather than authority, and matches the register Document 5 already establishes for every screen a person actually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Formal authority</w:t>
            </w:r>
          </w:p>
        </w:tc>
        <w:tc>
          <w:tcPr>
            <w:tcW w:type="dxa" w:w="3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Addressed on screen as</w:t>
            </w:r>
          </w:p>
        </w:tc>
        <w:tc>
          <w:tcPr>
            <w:tcW w:type="dxa" w:w="3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Specified in</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Master Admin</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instance owner</w:t>
            </w:r>
          </w:p>
        </w:tc>
        <w:tc>
          <w:tcPr>
            <w:tcW w:type="dxa" w:w="3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Documents 1, 3</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Data Protection Officer</w:t>
            </w:r>
          </w:p>
        </w:tc>
        <w:tc>
          <w:tcPr>
            <w:tcW w:type="dxa" w:w="3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compliance owner</w:t>
            </w:r>
          </w:p>
        </w:tc>
        <w:tc>
          <w:tcPr>
            <w:tcW w:type="dxa" w:w="3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Documents 1, 3, 7</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Operator</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operator — unchanged in both registers</w:t>
            </w:r>
          </w:p>
        </w:tc>
        <w:tc>
          <w:tcPr>
            <w:tcW w:type="dxa" w:w="3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Documents 1, 3, 4</w:t>
            </w:r>
          </w:p>
        </w:tc>
      </w:tr>
      <w:t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Watch Officer</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watch officer</w:t>
            </w:r>
          </w:p>
        </w:tc>
        <w:tc>
          <w:tcPr>
            <w:tcW w:type="dxa" w:w="3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Documents 8, 9</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Three further terms recur through the journeys below without carrying formal authority of their own: a business user or product owner is whoever inside the organisation has a question or a need, with no standing permission beyond what any employee holds; a commissioner is whoever’s objective a given piece of work runs under, a role that changes with every commission rather than a fixed seat; a technical lead and an integrating engineer are whoever builds and connects an application, roles held by employees or by a contracted third party alike.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These are motions, not a permissions taxonomy. A single person may hold several across a single week — the compliance owner asking an exploratory question is, in that moment, also a business user. What is fixed is that each motion has one home surface answering its question completely, never a console that tries to serve every motion at once.</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Founding</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instance owner and the compliance owner, together, once.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 instance running under the organisation’s own policy, with verified sources attached.</w:t>
            </w:r>
          </w:p>
        </w:tc>
      </w:tr>
    </w:tbl>
    <w:p>
      <w:pPr>
        <w:spacing w:after="150" w:line="292"/>
      </w:pPr>
      <w:r>
        <w:rPr>
          <w:rFonts w:ascii="Calibri" w:cs="Calibri" w:eastAsia="Calibri" w:hAnsi="Calibri"/>
          <w:b w:val="false"/>
          <w:bCs w:val="false"/>
          <w:i w:val="false"/>
          <w:iCs w:val="false"/>
          <w:color w:val="1A1A17"/>
          <w:sz w:val="20"/>
          <w:szCs w:val="20"/>
        </w:rPr>
        <w:t xml:space="preserve">A guided sequence captures the organisation’s identity, the compliance owner’s contact, the six governed seam values — each explained in one plain sentence with a recommended default — and the source list with the rights held on each. The review step states plainly that these choices are permanently recorded, and that changing any of them later requires two approvals.</w:t>
      </w:r>
    </w:p>
    <w:p>
      <w:pPr>
        <w:spacing w:after="150" w:line="292"/>
      </w:pPr>
      <w:r>
        <w:rPr>
          <w:rFonts w:ascii="Calibri" w:cs="Calibri" w:eastAsia="Calibri" w:hAnsi="Calibri"/>
          <w:b w:val="false"/>
          <w:bCs w:val="false"/>
          <w:i w:val="false"/>
          <w:iCs w:val="false"/>
          <w:color w:val="1A1A17"/>
          <w:sz w:val="20"/>
          <w:szCs w:val="20"/>
        </w:rPr>
        <w:t xml:space="preserve">The same sequence captures the first declarations: each seat-holder's role and working interests, entered as the admission baseline Document 3 §6.1 requires of every actor thereafter. From this morning forward no actor — person or agent — enters the instance undeclared, and honest change is handled by re-declaring, not by drifting.</w:t>
      </w:r>
    </w:p>
    <w:p>
      <w:pPr>
        <w:spacing w:after="150" w:line="292"/>
      </w:pPr>
      <w:r>
        <w:rPr>
          <w:rFonts w:ascii="Calibri" w:cs="Calibri" w:eastAsia="Calibri" w:hAnsi="Calibri"/>
          <w:b w:val="false"/>
          <w:bCs w:val="false"/>
          <w:i w:val="false"/>
          <w:iCs w:val="false"/>
          <w:color w:val="1A1A17"/>
          <w:sz w:val="20"/>
          <w:szCs w:val="20"/>
        </w:rPr>
        <w:t xml:space="preserve">Then, source by source: connect, test, and — for structured sources — confirm the mapping sample. This is the Extraction Console’s Registry Administration screen, specified in Document 5 Part IV, walked once per source rather than all at once.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whole journey is a working morning, and it ends with a signed setup record rather than a configuration file. On revisit, the screen is read-only, with a change request that routes to the rule-change ceremony specified in Document 3.</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Day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instance owner and the compliance owner, first week.</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estate map as a first deliverable in its own right, and a signed commissioning certificate.</w:t>
            </w:r>
          </w:p>
        </w:tc>
      </w:tr>
    </w:tbl>
    <w:p>
      <w:pPr>
        <w:spacing w:after="150" w:line="292"/>
      </w:pPr>
      <w:r>
        <w:rPr>
          <w:rFonts w:ascii="Calibri" w:cs="Calibri" w:eastAsia="Calibri" w:hAnsi="Calibri"/>
          <w:b w:val="false"/>
          <w:bCs w:val="false"/>
          <w:i w:val="false"/>
          <w:iCs w:val="false"/>
          <w:color w:val="1A1A17"/>
          <w:sz w:val="20"/>
          <w:szCs w:val="20"/>
        </w:rPr>
        <w:t xml:space="preserve">The census runs, and the Registry Dashboard — Document 5 §12.1 — fills for the first time: holdings per source with proof links; composition by language, era, type, and condition, with real counts; territory not yet measured, drawn as such rather than left blank; and capability the estate does not need, shown unlit rather than hidden entirely. For most organisations this is the first complete measured picture of their own data, and it stands as a deliverable independently of anything mined afterward — exportable and citable on its own.</w:t>
      </w:r>
    </w:p>
    <w:p>
      <w:pPr>
        <w:spacing w:after="150" w:line="292"/>
      </w:pPr>
      <w:r>
        <w:rPr>
          <w:rFonts w:ascii="Calibri" w:cs="Calibri" w:eastAsia="Calibri" w:hAnsi="Calibri"/>
          <w:b w:val="false"/>
          <w:bCs w:val="false"/>
          <w:i w:val="false"/>
          <w:iCs w:val="false"/>
          <w:color w:val="1A1A17"/>
          <w:sz w:val="20"/>
          <w:szCs w:val="20"/>
        </w:rPr>
        <w:t xml:space="preserve">In parallel, the compliance owner opens the Verification Runner and executes plain-language test packs — the mechanism specified in Document 3 §31: personal data is masked before any model call; deletion requires two approvers; an unanswerable question is refused with a reason. Each pack shows the rail firing with its proof, and the compliance owner signs the commissioning record on that basis.</w:t>
      </w:r>
    </w:p>
    <w:p>
      <w:pPr>
        <w:spacing w:after="150" w:line="292"/>
      </w:pPr>
      <w:r>
        <w:rPr>
          <w:rFonts w:ascii="Calibri" w:cs="Calibri" w:eastAsia="Calibri" w:hAnsi="Calibri"/>
          <w:b w:val="false"/>
          <w:bCs w:val="false"/>
          <w:i w:val="false"/>
          <w:iCs w:val="false"/>
          <w:color w:val="1A1A17"/>
          <w:sz w:val="20"/>
          <w:szCs w:val="20"/>
        </w:rPr>
        <w:t xml:space="preserve">The Watch commissions the same way: its response rails fire in demonstration — a seeded hostile input refused at the boundary, a planted credential touched and severed, a containment expiring clean — and the watch officer signs on the drill receipts. A rail that cannot be demonstrated firing is not in force, for security exactly as for governance.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Day-zero mining is verification that the organisation’s own parameters work — never value production, and never a demonstration staged for the vendor’s benefit. Both dashboards live and populated, simultaneously, is what day zero actually means.</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The Working Rhythm</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Exploration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Business users, continuously.</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Defensible answers, and a shortlist of what is worth commissioning next.</w:t>
            </w:r>
          </w:p>
        </w:tc>
      </w:tr>
    </w:tbl>
    <w:p>
      <w:pPr>
        <w:spacing w:after="150" w:line="292"/>
      </w:pPr>
      <w:r>
        <w:rPr>
          <w:rFonts w:ascii="Calibri" w:cs="Calibri" w:eastAsia="Calibri" w:hAnsi="Calibri"/>
          <w:b w:val="false"/>
          <w:bCs w:val="false"/>
          <w:i w:val="false"/>
          <w:iCs w:val="false"/>
          <w:color w:val="1A1A17"/>
          <w:sz w:val="20"/>
          <w:szCs w:val="20"/>
        </w:rPr>
        <w:t xml:space="preserve">A business user browses the registry: what has already been extracted and verified, what has not, and which gaps other people have already hit, and how often. Opportunity Briefs — Document 5 §19 — propose what the estate could support, each figure linked to its own measurement, refreshed as the census grows, and marked advisory throughout.</w:t>
      </w:r>
    </w:p>
    <w:p>
      <w:pPr>
        <w:spacing w:after="150" w:line="292"/>
      </w:pPr>
      <w:r>
        <w:rPr>
          <w:rFonts w:ascii="Calibri" w:cs="Calibri" w:eastAsia="Calibri" w:hAnsi="Calibri"/>
          <w:b w:val="false"/>
          <w:bCs w:val="false"/>
          <w:i w:val="false"/>
          <w:iCs w:val="false"/>
          <w:color w:val="1A1A17"/>
          <w:sz w:val="20"/>
          <w:szCs w:val="20"/>
        </w:rPr>
        <w:t xml:space="preserve">Then the user asks. The answer arrives as an answer card: the finding stated in prose, each individual claim tagged measured or modelled, an evidence strip naming its sources and strata and confirming the privacy floor held, an honesty strip naming plainly what the answer cannot say and why, and a set of actions — break it down, draft the memo, walk the proof. Where the answer meets a genuine gap, one action files the work as a candidate carrying its own demand evidence, entering the loop specified in Part VII below. Where the answer meets an entitlement rule instead, the user sees an entitlement refusal in place of the answer card — a different message entirely, since nothing here was missing from the estate, only withheld from this particular asker.</w:t>
      </w:r>
    </w:p>
    <w:p>
      <w:pPr>
        <w:pBdr>
          <w:left w:val="single" w:color="5C1A1E" w:sz="14" w:space="14"/>
        </w:pBdr>
        <w:spacing w:after="160" w:before="80" w:line="290"/>
        <w:ind w:left="280"/>
      </w:pPr>
      <w:r>
        <w:rPr>
          <w:rFonts w:ascii="Calibri" w:cs="Calibri" w:eastAsia="Calibri" w:hAnsi="Calibri"/>
          <w:b/>
          <w:bCs/>
          <w:color w:val="1A1A17"/>
          <w:sz w:val="20"/>
          <w:szCs w:val="20"/>
        </w:rPr>
        <w:t xml:space="preserve">Exploration is deliberately pre-purchase. A user finds out what the estate would support before committing any budget to actually extracting it — this is the entire reason Sampling, specified in Document 5 §16, exists as a first-class capability rather than a shortcut.</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Commissioning and Buying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 business user or product owner, then the operator.</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commissioned objective with an accepted quote, where the work is priced.</w:t>
            </w:r>
          </w:p>
        </w:tc>
      </w:tr>
    </w:tbl>
    <w:p>
      <w:pPr>
        <w:spacing w:after="150" w:line="292"/>
      </w:pPr>
      <w:r>
        <w:rPr>
          <w:rFonts w:ascii="Calibri" w:cs="Calibri" w:eastAsia="Calibri" w:hAnsi="Calibri"/>
          <w:b w:val="false"/>
          <w:bCs w:val="false"/>
          <w:i w:val="false"/>
          <w:iCs w:val="false"/>
          <w:color w:val="1A1A17"/>
          <w:sz w:val="20"/>
          <w:szCs w:val="20"/>
        </w:rPr>
        <w:t xml:space="preserve">The objective wizard — the Extraction Console’s Commission screen, Document 5 §14 — turns a need into governed work in five steps: the need stated in plain words; scope selected from what the registry says actually exists; standards and rights confirmed against explained defaults; a plan preview — extraction volume as a range, reusable stock already identified, expected coverage of the goal, and what cannot be covered, all shown before any commitment; and commissioning itself, with a confirmation stating precisely what becomes permanent at that moment.</w:t>
      </w:r>
    </w:p>
    <w:p>
      <w:pPr>
        <w:spacing w:after="150" w:line="292"/>
      </w:pPr>
      <w:r>
        <w:rPr>
          <w:rFonts w:ascii="Calibri" w:cs="Calibri" w:eastAsia="Calibri" w:hAnsi="Calibri"/>
          <w:b w:val="false"/>
          <w:bCs w:val="false"/>
          <w:i w:val="false"/>
          <w:iCs w:val="false"/>
          <w:color w:val="1A1A17"/>
          <w:sz w:val="20"/>
          <w:szCs w:val="20"/>
        </w:rPr>
        <w:t xml:space="preserve">Where the work is priced, a quote follows: line items, a validity window with an expiry, a delivery estimate as a range, and cancellation terms with itemised liability for whatever has already completed by that point. Acceptance is recorded and becomes the objective of record — this is the Freeze specified in Document 5 §15, and the freeze itself is the immutable event Document 3’s Admit stage performs underneath it.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operator then approves the work to run through commit review, or returns it with a reason. Both are ledger events. The journey’s entire design intent is that no one is ever surprised — cost, coverage, and limits are all visible before any money actually moves.</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Mining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operator and the commissioner, continuously.</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Finished products, with their paperwork attached.</w:t>
            </w:r>
          </w:p>
        </w:tc>
      </w:tr>
    </w:tbl>
    <w:p>
      <w:pPr>
        <w:spacing w:after="150" w:line="292"/>
      </w:pPr>
      <w:r>
        <w:rPr>
          <w:rFonts w:ascii="Calibri" w:cs="Calibri" w:eastAsia="Calibri" w:hAnsi="Calibri"/>
          <w:b w:val="false"/>
          <w:bCs w:val="false"/>
          <w:i w:val="false"/>
          <w:iCs w:val="false"/>
          <w:color w:val="1A1A17"/>
          <w:sz w:val="20"/>
          <w:szCs w:val="20"/>
        </w:rPr>
        <w:t xml:space="preserve">Extraction runs under the frozen objective. Objective tracking shows coverage toward the goal with the basis of the figure stated alongside it, completed runs each carrying a proof link, and a batch board where a quarantined batch appears with its status and its resolution path — never simply disappearing from view, per Document 4 §31.</w:t>
      </w:r>
    </w:p>
    <w:p>
      <w:pPr>
        <w:spacing w:after="150" w:line="292"/>
      </w:pPr>
      <w:r>
        <w:rPr>
          <w:rFonts w:ascii="Calibri" w:cs="Calibri" w:eastAsia="Calibri" w:hAnsi="Calibri"/>
          <w:b w:val="false"/>
          <w:bCs w:val="false"/>
          <w:i w:val="false"/>
          <w:iCs w:val="false"/>
          <w:color w:val="1A1A17"/>
          <w:sz w:val="20"/>
          <w:szCs w:val="20"/>
        </w:rPr>
        <w:t xml:space="preserve">Deliverables land on the shelf as they complete: datasets, briefs, standing feeds, occurrence indexes — each carrying its contents, its licence label, its privacy attestation, its quality card, and its proof trail. Where the instance’s own rules require it, a person releases a deliverable through review before it reaches its recipient.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Mining is ongoing work, not a launch event. An organisation does not schedule a mining programme so much as develop a mining practice — which is precisely what Part VII below describes at the scale of the whole instance rather than one objective.</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Ownership</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Ownership and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 technical lead and an integrating engineer.</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Models the organisation owns, and applications running on governed intelligence.</w:t>
            </w:r>
          </w:p>
        </w:tc>
      </w:tr>
    </w:tbl>
    <w:p>
      <w:pPr>
        <w:spacing w:after="150" w:line="292"/>
      </w:pPr>
      <w:r>
        <w:rPr>
          <w:rFonts w:ascii="Calibri" w:cs="Calibri" w:eastAsia="Calibri" w:hAnsi="Calibri"/>
          <w:b w:val="false"/>
          <w:bCs w:val="false"/>
          <w:i w:val="false"/>
          <w:iCs w:val="false"/>
          <w:color w:val="1A1A17"/>
          <w:sz w:val="20"/>
          <w:szCs w:val="20"/>
        </w:rPr>
        <w:t xml:space="preserve">As extraction accumulates labelled material, adapters train on it. Each accepted model appears with its base model, its full training lineage and inherited rights, its six-criterion acceptance scorecard with real measured numbers — the Model Output Acceptance Criteria specified in Document 4 §45 — and its complete version history. Before any model exists for a given class, the surface says so plainly rather than rendering an empty error in its place.</w:t>
      </w:r>
    </w:p>
    <w:p>
      <w:pPr>
        <w:spacing w:after="150" w:line="292"/>
      </w:pPr>
      <w:r>
        <w:rPr>
          <w:rFonts w:ascii="Calibri" w:cs="Calibri" w:eastAsia="Calibri" w:hAnsi="Calibri"/>
          <w:b w:val="false"/>
          <w:bCs w:val="false"/>
          <w:i w:val="false"/>
          <w:iCs w:val="false"/>
          <w:color w:val="1A1A17"/>
          <w:sz w:val="20"/>
          <w:szCs w:val="20"/>
        </w:rPr>
        <w:t xml:space="preserve">Integration is commissioned in one flow: the application’s standing objective is shaped, its memory plane is configured — retrieval scope, write-back on or off with a per-cycle volume ceiling, storage ceiling, retention and precompute parameters, per Document 7 §19–23 — and a scoped key is issued, all as a single recorded act rather than several separate ones.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engineer registers a webhook, reads the live answer envelope including all three refusal shapes, makes a test call, and watches that call appear in the compliance record immediately. There is no warm-up period in which an integration runs unobserved — the first call is governed exactly like the thousandth.</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Assurance</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Assurance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compliance owner, continuously.</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Assurance the compliance owner produces personally, rather than receives on trust from a vendor.</w:t>
            </w:r>
          </w:p>
        </w:tc>
      </w:tr>
    </w:tbl>
    <w:p>
      <w:pPr>
        <w:spacing w:after="150" w:line="292"/>
      </w:pPr>
      <w:r>
        <w:rPr>
          <w:rFonts w:ascii="Calibri" w:cs="Calibri" w:eastAsia="Calibri" w:hAnsi="Calibri"/>
          <w:b w:val="false"/>
          <w:bCs w:val="false"/>
          <w:i w:val="false"/>
          <w:iCs w:val="false"/>
          <w:color w:val="1A1A17"/>
          <w:sz w:val="20"/>
          <w:szCs w:val="20"/>
        </w:rPr>
        <w:t xml:space="preserve">The Trust Center holds every rule with its setting, who set it and when, and the count of automated checks actually enforcing it — beside the full track record: refusals with their reasons, quarantines with their resolutions, deletions with their certificates, rule changes with their ceremony stage and countdown, destruction attestations per run, per-application memory activity, and the quality layer’s own scorecard, including — honestly — when its own calibration has gone stale.</w:t>
      </w:r>
    </w:p>
    <w:p>
      <w:pPr>
        <w:pBdr>
          <w:left w:val="single" w:color="5C1A1E" w:sz="14" w:space="14"/>
        </w:pBdr>
        <w:spacing w:after="160" w:before="80" w:line="290"/>
        <w:ind w:left="280"/>
      </w:pPr>
      <w:r>
        <w:rPr>
          <w:rFonts w:ascii="Calibri" w:cs="Calibri" w:eastAsia="Calibri" w:hAnsi="Calibri"/>
          <w:b/>
          <w:bCs/>
          <w:color w:val="1A1A17"/>
          <w:sz w:val="20"/>
          <w:szCs w:val="20"/>
        </w:rPr>
        <w:t xml:space="preserve">One action proves any operation end to end; another exports the regulator pack. Both are generated entirely from the record specified in Document 3 Part VII, never assembled by hand for the occasion.</w:t>
      </w:r>
    </w:p>
    <w:p>
      <w:pPr>
        <w:pStyle w:val="Heading1"/>
        <w:spacing w:after="170" w:before="400"/>
      </w:pPr>
      <w:r>
        <w:rPr>
          <w:rFonts w:ascii="Georgia" w:cs="Georgia" w:eastAsia="Georgia" w:hAnsi="Georgia"/>
          <w:b/>
          <w:bCs/>
          <w:color w:val="5C1A1E"/>
          <w:sz w:val="26"/>
          <w:szCs w:val="26"/>
        </w:rPr>
        <w:t xml:space="preserve">9‑A  </w:t>
      </w:r>
      <w:r>
        <w:rPr>
          <w:rFonts w:ascii="Georgia" w:cs="Georgia" w:eastAsia="Georgia" w:hAnsi="Georgia"/>
          <w:b/>
          <w:bCs/>
          <w:color w:val="1B3350"/>
          <w:sz w:val="26"/>
          <w:szCs w:val="26"/>
        </w:rPr>
        <w:t xml:space="preserve">The Watch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Who</w:t>
            </w:r>
          </w:p>
        </w:tc>
        <w:tc>
          <w:tcPr>
            <w:tcW w:type="dxa" w:w="64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produces</w:t>
            </w:r>
          </w:p>
        </w:tc>
      </w:tr>
      <w:tr>
        <w:tc>
          <w:tcPr>
            <w:tcW w:type="dxa" w:w="2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watch officer, continuously.</w:t>
            </w:r>
          </w:p>
        </w:tc>
        <w:tc>
          <w:tcPr>
            <w:tcW w:type="dxa" w:w="64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Threats detected, contained, and converted into the record's own intelligence — with legitimate work never interrupted.</w:t>
            </w:r>
          </w:p>
        </w:tc>
      </w:tr>
    </w:tbl>
    <w:p>
      <w:pPr>
        <w:spacing w:after="150"/>
      </w:pPr>
    </w:p>
    <w:p>
      <w:pPr>
        <w:spacing w:after="150" w:line="292"/>
      </w:pPr>
      <w:r>
        <w:rPr>
          <w:rFonts w:ascii="Calibri" w:cs="Calibri" w:eastAsia="Calibri" w:hAnsi="Calibri"/>
          <w:b w:val="false"/>
          <w:bCs w:val="false"/>
          <w:i w:val="false"/>
          <w:iCs w:val="false"/>
          <w:color w:val="1A1A17"/>
          <w:sz w:val="20"/>
          <w:szCs w:val="20"/>
        </w:rPr>
        <w:t xml:space="preserve">The watch officer opens the Watch Console to its state band: the two latency figures against their bounds, the population and its trust standing, the spend gauges, the last drill. Most days the record's first lane — noted, no action — is the whole story, and reading it *is* the job: the restraint record is where the slow play first becomes a shape. In the accumulation view, one actor's curve has been climbing for a week — individually dismissible events, collectively a pattern. The officer promotes the actor into misdirection and watches the session as occupancy and findings. An innocent does ordinary work and releases on expiry, their period reconciled honestly; this one touches a planted credential, and the finding is structural: a mark is minted, severance executes on its own authority, and the decision panel receives the aftermath rather than the request.</w:t>
      </w:r>
    </w:p>
    <w:p>
      <w:pPr>
        <w:spacing w:after="150" w:line="292"/>
      </w:pPr>
      <w:r>
        <w:rPr>
          <w:rFonts w:ascii="Calibri" w:cs="Calibri" w:eastAsia="Calibri" w:hAnsi="Calibri"/>
          <w:b w:val="false"/>
          <w:bCs w:val="false"/>
          <w:i w:val="false"/>
          <w:iCs w:val="false"/>
          <w:color w:val="1A1A17"/>
          <w:sz w:val="20"/>
          <w:szCs w:val="20"/>
        </w:rPr>
        <w:t xml:space="preserve">What the officer never does is as designed as what they do: no threshold is visible to tune defensively, no profile is readable to browse, no action requires them before it executes within its bounds. Their decisions are exactly the reserved set — promote a containment, extend an expiry, sign a de-mark, resolve a disagreement between the authorities, cancel a ceremony in countdown. A class of item that keeps reaching them is redefined at the policy table, never worked faster. And the drill record answers the auditor's question before it is asked: the watch proves itself on schedule, and the proof is receipts, not attestation.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Everything in this journey runs under the Watch's identity, on the shared record, per the matrix in Document 9. The compliance owner reads the same record through the Trust Center under governance identity — same facts, two readings, and neither console renders the other's interior.</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The External Path</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The Buyer and the Customer</w:t>
      </w:r>
    </w:p>
    <w:p>
      <w:pPr>
        <w:spacing w:after="150" w:line="292"/>
      </w:pPr>
      <w:r>
        <w:rPr>
          <w:rFonts w:ascii="Calibri" w:cs="Calibri" w:eastAsia="Calibri" w:hAnsi="Calibri"/>
          <w:b w:val="false"/>
          <w:bCs w:val="false"/>
          <w:i w:val="false"/>
          <w:iCs w:val="false"/>
          <w:color w:val="1A1A17"/>
          <w:sz w:val="20"/>
          <w:szCs w:val="20"/>
        </w:rPr>
        <w:t xml:space="preserve">A buyer acquiring intelligence, and a customer who has already purchased it, follow a path specified fully in Document 7 Parts V–VI — the buyer path and the customer portal — and are not restated here. What is worth stating plainly at this level is the shape of the two journeys together: know what you are buying, acquire it lawfully, receive it, integrate against it, and see exactly what you have consumed, all without ever touching a console or the extraction machinery underneath.</w:t>
      </w:r>
    </w:p>
    <w:p>
      <w:pPr>
        <w:pBdr>
          <w:left w:val="single" w:color="5C1A1E" w:sz="14" w:space="14"/>
        </w:pBdr>
        <w:spacing w:after="160" w:before="80" w:line="290"/>
        <w:ind w:left="280"/>
      </w:pPr>
      <w:r>
        <w:rPr>
          <w:rFonts w:ascii="Calibri" w:cs="Calibri" w:eastAsia="Calibri" w:hAnsi="Calibri"/>
          <w:b/>
          <w:bCs/>
          <w:color w:val="1A1A17"/>
          <w:sz w:val="20"/>
          <w:szCs w:val="20"/>
        </w:rPr>
        <w:t xml:space="preserve">Neither the buyer nor the customer ever holds a privileged path. Both reach the platform through the identical governed boundary any application does, specified once in Document 5 §28 and never varied for a commercial relationship, however large.</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The Loop</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Mining as a Practice</w:t>
      </w:r>
    </w:p>
    <w:p>
      <w:pPr>
        <w:spacing w:after="150" w:line="292"/>
      </w:pPr>
      <w:r>
        <w:rPr>
          <w:rFonts w:ascii="Calibri" w:cs="Calibri" w:eastAsia="Calibri" w:hAnsi="Calibri"/>
          <w:b w:val="false"/>
          <w:bCs w:val="false"/>
          <w:i w:val="false"/>
          <w:iCs w:val="false"/>
          <w:color w:val="1A1A17"/>
          <w:sz w:val="20"/>
          <w:szCs w:val="20"/>
        </w:rPr>
        <w:t xml:space="preserve">The rhythm an organisation settles into has four beats, and no journey above is complete without seeing how they connect into one another.</w:t>
      </w:r>
    </w:p>
    <w:p>
      <w:pPr>
        <w:shd w:fill="F4F4EA" w:val="clear"/>
        <w:spacing w:after="40" w:line="250"/>
        <w:ind w:left="300"/>
      </w:pPr>
      <w:r>
        <w:rPr>
          <w:rFonts w:ascii="Consolas" w:cs="Consolas" w:eastAsia="Consolas" w:hAnsi="Consolas"/>
          <w:color w:val="1A1A17"/>
          <w:sz w:val="17"/>
          <w:szCs w:val="17"/>
        </w:rPr>
        <w:t xml:space="preserve">questions arrive from the business, and are asked of the estate</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most are answered  ── the rest produce filed gaps, carrying their own demand evidence</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gaps accumulate and rank themselves — no one maintains a priority list</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objectives are commissioned against the top of that list, priced with their coverage stated</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the resulting extraction changes what the next round of questions can be answered from</w:t>
      </w:r>
    </w:p>
    <w:p>
      <w:pPr>
        <w:spacing w:after="120"/>
      </w:pPr>
    </w:p>
    <w:p>
      <w:pPr>
        <w:spacing w:after="150" w:line="292"/>
      </w:pPr>
      <w:r>
        <w:rPr>
          <w:rFonts w:ascii="Calibri" w:cs="Calibri" w:eastAsia="Calibri" w:hAnsi="Calibri"/>
          <w:b w:val="false"/>
          <w:bCs w:val="false"/>
          <w:i w:val="false"/>
          <w:iCs w:val="false"/>
          <w:color w:val="1A1A17"/>
          <w:sz w:val="20"/>
          <w:szCs w:val="20"/>
        </w:rPr>
        <w:t xml:space="preserve">Two properties of this loop are unusual, and both are worth holding onto precisely.</w:t>
      </w:r>
    </w:p>
    <w:p>
      <w:pPr>
        <w:pBdr>
          <w:left w:val="single" w:color="5C1A1E" w:sz="14" w:space="14"/>
        </w:pBdr>
        <w:spacing w:after="160" w:before="80" w:line="290"/>
        <w:ind w:left="280"/>
      </w:pPr>
      <w:r>
        <w:rPr>
          <w:rFonts w:ascii="Calibri" w:cs="Calibri" w:eastAsia="Calibri" w:hAnsi="Calibri"/>
          <w:b/>
          <w:bCs/>
          <w:color w:val="1A1A17"/>
          <w:sz w:val="20"/>
          <w:szCs w:val="20"/>
        </w:rPr>
        <w:t xml:space="preserve">Demand is discovered rather than forecast. The organisation learns what its estate is worth by observing what people actually try to ask of it — which is more reliable than any upfront value assessment could ever be, because it costs nothing to be wrong about and updates itself continuously.</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loop is self-limiting in a healthy way. When the gap list stops producing high-demand candidates, the estate has been mined to the depth its current questions actually require — mining further than that would be building inventory nobody asked for.</w:t>
      </w:r>
    </w:p>
    <w:p>
      <w:pPr>
        <w:spacing w:after="150" w:line="292"/>
      </w:pPr>
      <w:r>
        <w:rPr>
          <w:rFonts w:ascii="Calibri" w:cs="Calibri" w:eastAsia="Calibri" w:hAnsi="Calibri"/>
          <w:b w:val="false"/>
          <w:bCs w:val="false"/>
          <w:i w:val="false"/>
          <w:iCs w:val="false"/>
          <w:color w:val="1A1A17"/>
          <w:sz w:val="20"/>
          <w:szCs w:val="20"/>
        </w:rPr>
        <w:t xml:space="preserve">No role is required to be present for the loop to continue, which is what allows the practice to survive staff changes intact. The record carries the context that would otherwise live only in someone’s head — why a gap was filed, what was tried against it, what the material could not yet support — and the next person to touch it does not begin from nothing.</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What Every Journey Above Has in Common</w:t>
      </w:r>
    </w:p>
    <w:p>
      <w:pPr>
        <w:spacing w:after="150" w:line="292"/>
      </w:pPr>
      <w:r>
        <w:rPr>
          <w:rFonts w:ascii="Calibri" w:cs="Calibri" w:eastAsia="Calibri" w:hAnsi="Calibri"/>
          <w:b w:val="false"/>
          <w:bCs w:val="false"/>
          <w:i w:val="false"/>
          <w:iCs w:val="false"/>
          <w:color w:val="1A1A17"/>
          <w:sz w:val="20"/>
          <w:szCs w:val="20"/>
        </w:rPr>
        <w:t xml:space="preserve">Each journey names a different set of people and produces a different artefact, but every one of them rests on the identical five things specified earlier in this canon, and none of them would hold without all five.</w:t>
      </w:r>
    </w:p>
    <w:p>
      <w:pPr>
        <w:pStyle w:val="ListParagraph"/>
        <w:numPr>
          <w:ilvl w:val="0"/>
          <w:numId w:val="2"/>
        </w:numPr>
        <w:spacing w:after="90" w:line="290"/>
      </w:pPr>
      <w:r>
        <w:rPr>
          <w:rFonts w:ascii="Calibri" w:cs="Calibri" w:eastAsia="Calibri" w:hAnsi="Calibri"/>
          <w:b/>
          <w:bCs/>
          <w:color w:val="1A1A17"/>
          <w:sz w:val="20"/>
          <w:szCs w:val="20"/>
        </w:rPr>
        <w:t xml:space="preserve">One record. </w:t>
      </w:r>
      <w:r>
        <w:rPr>
          <w:rFonts w:ascii="Calibri" w:cs="Calibri" w:eastAsia="Calibri" w:hAnsi="Calibri"/>
          <w:b w:val="false"/>
          <w:bCs w:val="false"/>
          <w:color w:val="1A1A17"/>
          <w:sz w:val="20"/>
          <w:szCs w:val="20"/>
        </w:rPr>
        <w:t xml:space="preserve">Every journey above writes to the same append-only ledger specified in Document 3, whichever console or application it passed through to get there.</w:t>
      </w:r>
    </w:p>
    <w:p>
      <w:pPr>
        <w:pStyle w:val="ListParagraph"/>
        <w:numPr>
          <w:ilvl w:val="0"/>
          <w:numId w:val="2"/>
        </w:numPr>
        <w:spacing w:after="90" w:line="290"/>
      </w:pPr>
      <w:r>
        <w:rPr>
          <w:rFonts w:ascii="Calibri" w:cs="Calibri" w:eastAsia="Calibri" w:hAnsi="Calibri"/>
          <w:b/>
          <w:bCs/>
          <w:color w:val="1A1A17"/>
          <w:sz w:val="20"/>
          <w:szCs w:val="20"/>
        </w:rPr>
        <w:t xml:space="preserve">One boundary. </w:t>
      </w:r>
      <w:r>
        <w:rPr>
          <w:rFonts w:ascii="Calibri" w:cs="Calibri" w:eastAsia="Calibri" w:hAnsi="Calibri"/>
          <w:b w:val="false"/>
          <w:bCs w:val="false"/>
          <w:color w:val="1A1A17"/>
          <w:sz w:val="20"/>
          <w:szCs w:val="20"/>
        </w:rPr>
        <w:t xml:space="preserve">Every application any journey touches — first-party or third — crosses the identical governed boundary specified in Documents 5 and 7. No journey above ever finds a shorter path.</w:t>
      </w:r>
    </w:p>
    <w:p>
      <w:pPr>
        <w:pStyle w:val="ListParagraph"/>
        <w:numPr>
          <w:ilvl w:val="0"/>
          <w:numId w:val="2"/>
        </w:numPr>
        <w:spacing w:after="90" w:line="290"/>
      </w:pPr>
      <w:r>
        <w:rPr>
          <w:rFonts w:ascii="Calibri" w:cs="Calibri" w:eastAsia="Calibri" w:hAnsi="Calibri"/>
          <w:b/>
          <w:bCs/>
          <w:color w:val="1A1A17"/>
          <w:sz w:val="20"/>
          <w:szCs w:val="20"/>
        </w:rPr>
        <w:t xml:space="preserve">Three verdicts, never more. </w:t>
      </w:r>
      <w:r>
        <w:rPr>
          <w:rFonts w:ascii="Calibri" w:cs="Calibri" w:eastAsia="Calibri" w:hAnsi="Calibri"/>
          <w:b w:val="false"/>
          <w:bCs w:val="false"/>
          <w:color w:val="1A1A17"/>
          <w:sz w:val="20"/>
          <w:szCs w:val="20"/>
        </w:rPr>
        <w:t xml:space="preserve">Every step in every journey above resolves to answered, held, or refused — never a fourth outcome invented to smooth over an awkward moment.</w:t>
      </w:r>
    </w:p>
    <w:p>
      <w:pPr>
        <w:pStyle w:val="ListParagraph"/>
        <w:numPr>
          <w:ilvl w:val="0"/>
          <w:numId w:val="2"/>
        </w:numPr>
        <w:spacing w:after="90" w:line="290"/>
      </w:pPr>
      <w:r>
        <w:rPr>
          <w:rFonts w:ascii="Calibri" w:cs="Calibri" w:eastAsia="Calibri" w:hAnsi="Calibri"/>
          <w:b/>
          <w:bCs/>
          <w:color w:val="1A1A17"/>
          <w:sz w:val="20"/>
          <w:szCs w:val="20"/>
        </w:rPr>
        <w:t xml:space="preserve">Provenance that survives the whole path. </w:t>
      </w:r>
      <w:r>
        <w:rPr>
          <w:rFonts w:ascii="Calibri" w:cs="Calibri" w:eastAsia="Calibri" w:hAnsi="Calibri"/>
          <w:b w:val="false"/>
          <w:bCs w:val="false"/>
          <w:color w:val="1A1A17"/>
          <w:sz w:val="20"/>
          <w:szCs w:val="20"/>
        </w:rPr>
        <w:t xml:space="preserve">A figure a business user reads in Exploration traces, without exception, to the same census run a compliance owner would cite in Assurance.</w:t>
      </w:r>
    </w:p>
    <w:p>
      <w:pPr>
        <w:pStyle w:val="ListParagraph"/>
        <w:numPr>
          <w:ilvl w:val="0"/>
          <w:numId w:val="2"/>
        </w:numPr>
        <w:spacing w:after="90" w:line="290"/>
      </w:pPr>
      <w:r>
        <w:rPr>
          <w:rFonts w:ascii="Calibri" w:cs="Calibri" w:eastAsia="Calibri" w:hAnsi="Calibri"/>
          <w:b/>
          <w:bCs/>
          <w:color w:val="1A1A17"/>
          <w:sz w:val="20"/>
          <w:szCs w:val="20"/>
        </w:rPr>
        <w:t xml:space="preserve">A loop that compounds. </w:t>
      </w:r>
      <w:r>
        <w:rPr>
          <w:rFonts w:ascii="Calibri" w:cs="Calibri" w:eastAsia="Calibri" w:hAnsi="Calibri"/>
          <w:b w:val="false"/>
          <w:bCs w:val="false"/>
          <w:color w:val="1A1A17"/>
          <w:sz w:val="20"/>
          <w:szCs w:val="20"/>
        </w:rPr>
        <w:t xml:space="preserve">What the organisation learns in one journey changes what every later journey can accomplish — this is the platform’s entire promise about time, made concrete across eight different kinds of working day.</w:t>
      </w:r>
    </w:p>
    <w:p>
      <w:pPr>
        <w:spacing w:after="150" w:line="292"/>
      </w:pPr>
      <w:r>
        <w:rPr>
          <w:rFonts w:ascii="Calibri" w:cs="Calibri" w:eastAsia="Calibri" w:hAnsi="Calibri"/>
          <w:b w:val="false"/>
          <w:bCs w:val="false"/>
          <w:i w:val="false"/>
          <w:iCs w:val="false"/>
          <w:color w:val="1A1A17"/>
          <w:sz w:val="20"/>
          <w:szCs w:val="20"/>
        </w:rPr>
        <w:t xml:space="preserve">And beneath all five, one presence the journeys above never had to mention because it never interrupted them: every actor in every journey was declared, enveloped, and watched, every gate they crossed evaluated the marks, and the Watch's whole ambition — stated in Document 8 and honoured across each of these days — is that the people doing legitimate work never noticed it was there.</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6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USER JOURNEYS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User Journeys</dc:title>
  <dc:creator>Syni.ai</dc:creator>
  <cp:lastModifiedBy>Un-named</cp:lastModifiedBy>
  <cp:revision>1</cp:revision>
  <dcterms:created xsi:type="dcterms:W3CDTF">2026-08-11T11:37:28.945Z</dcterms:created>
  <dcterms:modified xsi:type="dcterms:W3CDTF">2026-08-11T11:37:28.945Z</dcterms:modified>
</cp:coreProperties>
</file>

<file path=docProps/custom.xml><?xml version="1.0" encoding="utf-8"?>
<Properties xmlns="http://schemas.openxmlformats.org/officeDocument/2006/custom-properties" xmlns:vt="http://schemas.openxmlformats.org/officeDocument/2006/docPropsVTypes"/>
</file>