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8 OF 9</w:t>
      </w:r>
    </w:p>
    <w:p>
      <w:pPr>
        <w:spacing w:after="60" w:before="120"/>
      </w:pPr>
      <w:r>
        <w:rPr>
          <w:rFonts w:ascii="Georgia" w:cs="Georgia" w:eastAsia="Georgia" w:hAnsi="Georgia"/>
          <w:b/>
          <w:bCs/>
          <w:color w:val="1B3350"/>
          <w:sz w:val="40"/>
          <w:szCs w:val="40"/>
        </w:rPr>
        <w:t xml:space="preserve">The Watch</w:t>
      </w:r>
    </w:p>
    <w:p>
      <w:pPr>
        <w:spacing w:after="260"/>
      </w:pPr>
      <w:r>
        <w:rPr>
          <w:rFonts w:ascii="Georgia" w:cs="Georgia" w:eastAsia="Georgia" w:hAnsi="Georgia"/>
          <w:i/>
          <w:iCs/>
          <w:color w:val="4A4A44"/>
          <w:sz w:val="22"/>
          <w:szCs w:val="22"/>
        </w:rPr>
        <w:t xml:space="preserve">The security authority: its promise, doctrines, the two engines and the verdict, the response arms, marks and signatures, the mirage, the console, and the parameters it is held to</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The Promise</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What the Watch Is</w:t>
      </w:r>
    </w:p>
    <w:p>
      <w:pPr>
        <w:spacing w:after="150" w:line="292"/>
      </w:pPr>
      <w:r>
        <w:rPr>
          <w:rFonts w:ascii="Calibri" w:cs="Calibri" w:eastAsia="Calibri" w:hAnsi="Calibri"/>
          <w:b w:val="false"/>
          <w:bCs w:val="false"/>
          <w:i w:val="false"/>
          <w:iCs w:val="false"/>
          <w:color w:val="1A1A17"/>
          <w:sz w:val="20"/>
          <w:szCs w:val="20"/>
        </w:rPr>
        <w:t xml:space="preserve">The Watch is the platform's security authority. It stands beside the governing authority — the six engines of Documents 2 through 4 — as a peer, subordinate to nothing, and it answers the one question the governors structurally cannot: not *was this permitted*, but *was this intended, and is this actor, input, and action what it claims to be?* Every gate can pass, every receipt can be clean, and the damage can still be happening — a valid credential misused, a poisoned context producing perfectly authorised behaviour, a purpose laundered across a chain of individually lawful calls. The Watch exists for exactly that gap.</w:t>
      </w:r>
    </w:p>
    <w:p>
      <w:pPr>
        <w:pBdr>
          <w:left w:val="single" w:color="5C1A1E" w:sz="14" w:space="14"/>
        </w:pBdr>
        <w:spacing w:after="160" w:before="80" w:line="290"/>
        <w:ind w:left="280"/>
      </w:pPr>
      <w:r>
        <w:rPr>
          <w:rFonts w:ascii="Calibri" w:cs="Calibri" w:eastAsia="Calibri" w:hAnsi="Calibri"/>
          <w:b/>
          <w:bCs/>
          <w:color w:val="1A1A17"/>
          <w:sz w:val="20"/>
          <w:szCs w:val="20"/>
        </w:rPr>
        <w:t xml:space="preserve">To the operating organisation: continuous, machine-speed detection and response against misuse of the estate and the platform — invisible in legitimate use, incapable of acting unobserved, extracting intelligence from every attack it defeats, and proving its own fitness on a standing cadence without human effort.</w:t>
      </w:r>
    </w:p>
    <w:p>
      <w:pPr>
        <w:spacing w:after="150" w:line="292"/>
      </w:pPr>
      <w:r>
        <w:rPr>
          <w:rFonts w:ascii="Calibri" w:cs="Calibri" w:eastAsia="Calibri" w:hAnsi="Calibri"/>
          <w:b w:val="false"/>
          <w:bCs w:val="false"/>
          <w:i w:val="false"/>
          <w:iCs w:val="false"/>
          <w:color w:val="1A1A17"/>
          <w:sz w:val="20"/>
          <w:szCs w:val="20"/>
        </w:rPr>
        <w:t xml:space="preserve">Every Watch function traces to this sentence, exactly as every governance function traces to a service sentence of Document 1 §12. Every parameter in Part IX protects a clause of it. Nothing in the Watch is proposed, evaluated, or justified by anything else.</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Why It Exists</w:t>
      </w:r>
    </w:p>
    <w:p>
      <w:pPr>
        <w:spacing w:after="150" w:line="292"/>
      </w:pPr>
      <w:r>
        <w:rPr>
          <w:rFonts w:ascii="Calibri" w:cs="Calibri" w:eastAsia="Calibri" w:hAnsi="Calibri"/>
          <w:b w:val="false"/>
          <w:bCs w:val="false"/>
          <w:i w:val="false"/>
          <w:iCs w:val="false"/>
          <w:color w:val="1A1A17"/>
          <w:sz w:val="20"/>
          <w:szCs w:val="20"/>
        </w:rPr>
        <w:t xml:space="preserve">The platform's own promise is the provocation. A product that declares custody and provability invites the test — ethical and hostile alike — and nobody attacks a system that claims nothing. The estate concentrates exactly what an attacker wants: qualified intelligence, credentials, trained models, and a record whose corruption would be worth more than any single theft. The conventional layer — access control, encryption, the certifiable surface — answers the human attacker and the stolen credential at the moment of entry. It has nothing to say about the attack that arrives as input, drifts in as behaviour, or hides inside authorisation. Those are the Watch's.</w:t>
      </w:r>
    </w:p>
    <w:p>
      <w:pPr>
        <w:spacing w:after="150" w:line="292"/>
      </w:pPr>
      <w:r>
        <w:rPr>
          <w:rFonts w:ascii="Calibri" w:cs="Calibri" w:eastAsia="Calibri" w:hAnsi="Calibri"/>
          <w:b w:val="false"/>
          <w:bCs w:val="false"/>
          <w:i w:val="false"/>
          <w:iCs w:val="false"/>
          <w:color w:val="1A1A17"/>
          <w:sz w:val="20"/>
          <w:szCs w:val="20"/>
        </w:rPr>
        <w:t xml:space="preserve">Three attack shapes drove every structural decision in this document. The </w:t>
      </w:r>
      <w:r>
        <w:rPr>
          <w:rFonts w:ascii="Calibri" w:cs="Calibri" w:eastAsia="Calibri" w:hAnsi="Calibri"/>
          <w:b/>
          <w:bCs/>
          <w:i w:val="false"/>
          <w:iCs w:val="false"/>
          <w:color w:val="1A1A17"/>
          <w:sz w:val="20"/>
          <w:szCs w:val="20"/>
        </w:rPr>
        <w:t xml:space="preserve">machine-speed attack</w:t>
      </w:r>
      <w:r>
        <w:rPr>
          <w:rFonts w:ascii="Calibri" w:cs="Calibri" w:eastAsia="Calibri" w:hAnsi="Calibri"/>
          <w:b w:val="false"/>
          <w:bCs w:val="false"/>
          <w:i w:val="false"/>
          <w:iCs w:val="false"/>
          <w:color w:val="1A1A17"/>
          <w:sz w:val="20"/>
          <w:szCs w:val="20"/>
        </w:rPr>
        <w:t xml:space="preserve">, which is over before any human wakes: the answer is autonomy made safe by construction. The </w:t>
      </w:r>
      <w:r>
        <w:rPr>
          <w:rFonts w:ascii="Calibri" w:cs="Calibri" w:eastAsia="Calibri" w:hAnsi="Calibri"/>
          <w:b/>
          <w:bCs/>
          <w:i w:val="false"/>
          <w:iCs w:val="false"/>
          <w:color w:val="1A1A17"/>
          <w:sz w:val="20"/>
          <w:szCs w:val="20"/>
        </w:rPr>
        <w:t xml:space="preserve">slow play</w:t>
      </w:r>
      <w:r>
        <w:rPr>
          <w:rFonts w:ascii="Calibri" w:cs="Calibri" w:eastAsia="Calibri" w:hAnsi="Calibri"/>
          <w:b w:val="false"/>
          <w:bCs w:val="false"/>
          <w:i w:val="false"/>
          <w:iCs w:val="false"/>
          <w:color w:val="1A1A17"/>
          <w:sz w:val="20"/>
          <w:szCs w:val="20"/>
        </w:rPr>
        <w:t xml:space="preserve">, which drifts beneath every threshold: the answer is the strata of Part IV — a floor that cannot learn, a cohort that is hard to boil, a signature that cannot be stolen, and an accumulation view that reads patience back at the attacker. And the </w:t>
      </w:r>
      <w:r>
        <w:rPr>
          <w:rFonts w:ascii="Calibri" w:cs="Calibri" w:eastAsia="Calibri" w:hAnsi="Calibri"/>
          <w:b/>
          <w:bCs/>
          <w:i w:val="false"/>
          <w:iCs w:val="false"/>
          <w:color w:val="1A1A17"/>
          <w:sz w:val="20"/>
          <w:szCs w:val="20"/>
        </w:rPr>
        <w:t xml:space="preserve">authorised attack</w:t>
      </w:r>
      <w:r>
        <w:rPr>
          <w:rFonts w:ascii="Calibri" w:cs="Calibri" w:eastAsia="Calibri" w:hAnsi="Calibri"/>
          <w:b w:val="false"/>
          <w:bCs w:val="false"/>
          <w:i w:val="false"/>
          <w:iCs w:val="false"/>
          <w:color w:val="1A1A17"/>
          <w:sz w:val="20"/>
          <w:szCs w:val="20"/>
        </w:rPr>
        <w:t xml:space="preserve">, which never breaks a rule: the answer is declared intent, reconciled against realised conduct.</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What the Watch Is Not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seventh engine. </w:t>
      </w:r>
      <w:r>
        <w:rPr>
          <w:rFonts w:ascii="Calibri" w:cs="Calibri" w:eastAsia="Calibri" w:hAnsi="Calibri"/>
          <w:b w:val="false"/>
          <w:bCs w:val="false"/>
          <w:i w:val="false"/>
          <w:iCs w:val="false"/>
          <w:color w:val="1A1A17"/>
          <w:sz w:val="20"/>
          <w:szCs w:val="20"/>
        </w:rPr>
        <w:t xml:space="preserve">The six engines constitute the governing authority; the Watch is the second authority beside it. It performs none of their functions — it does not admit, measure, target, reason, gate the boundary, or improve judgement — and none of them performs its.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layer above governance. </w:t>
      </w:r>
      <w:r>
        <w:rPr>
          <w:rFonts w:ascii="Calibri" w:cs="Calibri" w:eastAsia="Calibri" w:hAnsi="Calibri"/>
          <w:b w:val="false"/>
          <w:bCs w:val="false"/>
          <w:i w:val="false"/>
          <w:iCs w:val="false"/>
          <w:color w:val="1A1A17"/>
          <w:sz w:val="20"/>
          <w:szCs w:val="20"/>
        </w:rPr>
        <w:t xml:space="preserve">A second governance layer above one that already exists is the meta-spiral defect Document 7 §47 names. The Watch escapes that class by construction: it asks a different question, on a different clock — governance works run by run and converges; the Watch never converges and never concludes — and it holds no authority over any governance verdict.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an observer. </w:t>
      </w:r>
      <w:r>
        <w:rPr>
          <w:rFonts w:ascii="Calibri" w:cs="Calibri" w:eastAsia="Calibri" w:hAnsi="Calibri"/>
          <w:b w:val="false"/>
          <w:bCs w:val="false"/>
          <w:i w:val="false"/>
          <w:iCs w:val="false"/>
          <w:color w:val="1A1A17"/>
          <w:sz w:val="20"/>
          <w:szCs w:val="20"/>
        </w:rPr>
        <w:t xml:space="preserve">The Watch acts, autonomously, within the bounds of Part VI. A detection system that must wake a person before acting has a response measured in hours against attacks measured in seconds — an expensive solution with no additional benefit. Observe-first deployment is prohibited by its own doctrine W4.</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data consumer. </w:t>
      </w:r>
      <w:r>
        <w:rPr>
          <w:rFonts w:ascii="Calibri" w:cs="Calibri" w:eastAsia="Calibri" w:hAnsi="Calibri"/>
          <w:b w:val="false"/>
          <w:bCs w:val="false"/>
          <w:i w:val="false"/>
          <w:iCs w:val="false"/>
          <w:color w:val="1A1A17"/>
          <w:sz w:val="20"/>
          <w:szCs w:val="20"/>
        </w:rPr>
        <w:t xml:space="preserve">The Watch reads evidence and behaviour to protect the estate; it never feeds analytics, scoring, pricing, or management visibility. Its one profile store is armory under W13, renderable to no surface.</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The Doctrines</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Fourteen Doctrines</w:t>
      </w:r>
    </w:p>
    <w:p>
      <w:pPr>
        <w:spacing w:after="150" w:line="292"/>
      </w:pPr>
      <w:r>
        <w:rPr>
          <w:rFonts w:ascii="Calibri" w:cs="Calibri" w:eastAsia="Calibri" w:hAnsi="Calibri"/>
          <w:b w:val="false"/>
          <w:bCs w:val="false"/>
          <w:i w:val="false"/>
          <w:iCs w:val="false"/>
          <w:color w:val="1A1A17"/>
          <w:sz w:val="20"/>
          <w:szCs w:val="20"/>
        </w:rPr>
        <w:t xml:space="preserve">These bind every part of the Watch and everything it touches. Each carries the reasoning that is its authority; a clause anywhere in this document that contradicts one is defective and is corrected against the doctrine, never the reverse.</w:t>
      </w:r>
    </w:p>
    <w:p>
      <w:pPr>
        <w:pStyle w:val="Heading2"/>
        <w:spacing w:after="110" w:before="280"/>
      </w:pPr>
      <w:r>
        <w:rPr>
          <w:rFonts w:ascii="Georgia" w:cs="Georgia" w:eastAsia="Georgia" w:hAnsi="Georgia"/>
          <w:b/>
          <w:bCs/>
          <w:color w:val="5C1A1E"/>
          <w:sz w:val="21"/>
          <w:szCs w:val="21"/>
        </w:rPr>
        <w:t xml:space="preserve">4.1  </w:t>
      </w:r>
      <w:r>
        <w:rPr>
          <w:rFonts w:ascii="Georgia" w:cs="Georgia" w:eastAsia="Georgia" w:hAnsi="Georgia"/>
          <w:b/>
          <w:bCs/>
          <w:color w:val="1B3350"/>
          <w:sz w:val="21"/>
          <w:szCs w:val="21"/>
        </w:rPr>
        <w:t xml:space="preserve">W1 · The eyes never act; the hand never judges</w:t>
      </w:r>
    </w:p>
    <w:p>
      <w:pPr>
        <w:pBdr>
          <w:left w:val="single" w:color="5C1A1E" w:sz="14" w:space="14"/>
        </w:pBdr>
        <w:spacing w:after="160" w:before="80" w:line="290"/>
        <w:ind w:left="280"/>
      </w:pPr>
      <w:r>
        <w:rPr>
          <w:rFonts w:ascii="Calibri" w:cs="Calibri" w:eastAsia="Calibri" w:hAnsi="Calibri"/>
          <w:b/>
          <w:bCs/>
          <w:color w:val="1A1A17"/>
          <w:sz w:val="20"/>
          <w:szCs w:val="20"/>
        </w:rPr>
        <w:t xml:space="preserve">Detection asserts facts; response executes policy; one verdict is the only interface between them.</w:t>
      </w:r>
    </w:p>
    <w:p>
      <w:pPr>
        <w:spacing w:after="150" w:line="292"/>
      </w:pPr>
      <w:r>
        <w:rPr>
          <w:rFonts w:ascii="Calibri" w:cs="Calibri" w:eastAsia="Calibri" w:hAnsi="Calibri"/>
          <w:b w:val="false"/>
          <w:bCs w:val="false"/>
          <w:i w:val="false"/>
          <w:iCs w:val="false"/>
          <w:color w:val="1A1A17"/>
          <w:sz w:val="20"/>
          <w:szCs w:val="20"/>
        </w:rPr>
        <w:t xml:space="preserve">A detector that knows a severance follows its verdict is tuned defensively, and detection quality silently degrades to protect response comfort — the documented death of most security operations. A responder that deliberates is slow, and speed is the promise. So the Watch is two engines: </w:t>
      </w:r>
      <w:r>
        <w:rPr>
          <w:rFonts w:ascii="Calibri" w:cs="Calibri" w:eastAsia="Calibri" w:hAnsi="Calibri"/>
          <w:b/>
          <w:bCs/>
          <w:i w:val="false"/>
          <w:iCs w:val="false"/>
          <w:color w:val="1A1A17"/>
          <w:sz w:val="20"/>
          <w:szCs w:val="20"/>
        </w:rPr>
        <w:t xml:space="preserve">Macho</w:t>
      </w:r>
      <w:r>
        <w:rPr>
          <w:rFonts w:ascii="Calibri" w:cs="Calibri" w:eastAsia="Calibri" w:hAnsi="Calibri"/>
          <w:b w:val="false"/>
          <w:bCs w:val="false"/>
          <w:i w:val="false"/>
          <w:iCs w:val="false"/>
          <w:color w:val="1A1A17"/>
          <w:sz w:val="20"/>
          <w:szCs w:val="20"/>
        </w:rPr>
        <w:t xml:space="preserve">, the eyes, which senses and asserts and holds no powers whatsoever; and </w:t>
      </w:r>
      <w:r>
        <w:rPr>
          <w:rFonts w:ascii="Calibri" w:cs="Calibri" w:eastAsia="Calibri" w:hAnsi="Calibri"/>
          <w:b/>
          <w:bCs/>
          <w:i w:val="false"/>
          <w:iCs w:val="false"/>
          <w:color w:val="1A1A17"/>
          <w:sz w:val="20"/>
          <w:szCs w:val="20"/>
        </w:rPr>
        <w:t xml:space="preserve">Mkono</w:t>
      </w:r>
      <w:r>
        <w:rPr>
          <w:rFonts w:ascii="Calibri" w:cs="Calibri" w:eastAsia="Calibri" w:hAnsi="Calibri"/>
          <w:b w:val="false"/>
          <w:bCs w:val="false"/>
          <w:i w:val="false"/>
          <w:iCs w:val="false"/>
          <w:color w:val="1A1A17"/>
          <w:sz w:val="20"/>
          <w:szCs w:val="20"/>
        </w:rPr>
        <w:t xml:space="preserve">, the hand, which acts and holds no judgement — a deterministic mapping from verdict properties to actions. This is the platform's own standing rule — learning may detect, it may never decide — applied to security whole.</w:t>
      </w:r>
    </w:p>
    <w:p>
      <w:pPr>
        <w:pStyle w:val="Heading2"/>
        <w:spacing w:after="110" w:before="280"/>
      </w:pPr>
      <w:r>
        <w:rPr>
          <w:rFonts w:ascii="Georgia" w:cs="Georgia" w:eastAsia="Georgia" w:hAnsi="Georgia"/>
          <w:b/>
          <w:bCs/>
          <w:color w:val="5C1A1E"/>
          <w:sz w:val="21"/>
          <w:szCs w:val="21"/>
        </w:rPr>
        <w:t xml:space="preserve">4.2  </w:t>
      </w:r>
      <w:r>
        <w:rPr>
          <w:rFonts w:ascii="Georgia" w:cs="Georgia" w:eastAsia="Georgia" w:hAnsi="Georgia"/>
          <w:b/>
          <w:bCs/>
          <w:color w:val="1B3350"/>
          <w:sz w:val="21"/>
          <w:szCs w:val="21"/>
        </w:rPr>
        <w:t xml:space="preserve">W2 · Certainty never exceeds evidence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Structural certainty is assertable only from signals an outsider cannot fabricate. Everything externally steerable caps at reversible containment, whatever its score.</w:t>
      </w:r>
    </w:p>
    <w:p>
      <w:pPr>
        <w:spacing w:after="150" w:line="292"/>
      </w:pPr>
      <w:r>
        <w:rPr>
          <w:rFonts w:ascii="Calibri" w:cs="Calibri" w:eastAsia="Calibri" w:hAnsi="Calibri"/>
          <w:b w:val="false"/>
          <w:bCs w:val="false"/>
          <w:i w:val="false"/>
          <w:iCs w:val="false"/>
          <w:color w:val="1A1A17"/>
          <w:sz w:val="20"/>
          <w:szCs w:val="20"/>
        </w:rPr>
        <w:t xml:space="preserve">The closed sever-certainty registry — canary touch, attestation failure, mark hit, witness-write attempt, floor violation, mirage incrimination — is the whole of what may unlock the Watch's maximum autonomous force. A content score or a behavioural pattern, however confident, is a signal an attacker can shape, and a system whose maximum power can be triggered from outside is a weapon handed to whoever learns to trigger it. The certainty computation is a function with no parameter through which a detector's confidence can enter — Solva's own assertion boundary, transplanted: the signature is the guard.</w:t>
      </w:r>
    </w:p>
    <w:p>
      <w:pPr>
        <w:pStyle w:val="Heading2"/>
        <w:spacing w:after="110" w:before="280"/>
      </w:pPr>
      <w:r>
        <w:rPr>
          <w:rFonts w:ascii="Georgia" w:cs="Georgia" w:eastAsia="Georgia" w:hAnsi="Georgia"/>
          <w:b/>
          <w:bCs/>
          <w:color w:val="5C1A1E"/>
          <w:sz w:val="21"/>
          <w:szCs w:val="21"/>
        </w:rPr>
        <w:t xml:space="preserve">4.3  </w:t>
      </w:r>
      <w:r>
        <w:rPr>
          <w:rFonts w:ascii="Georgia" w:cs="Georgia" w:eastAsia="Georgia" w:hAnsi="Georgia"/>
          <w:b/>
          <w:bCs/>
          <w:color w:val="1B3350"/>
          <w:sz w:val="21"/>
          <w:szCs w:val="21"/>
        </w:rPr>
        <w:t xml:space="preserve">W3 · Every autonomous act is reversible, bounded, and witnessed</w:t>
      </w:r>
    </w:p>
    <w:p>
      <w:pPr>
        <w:pBdr>
          <w:left w:val="single" w:color="5C1A1E" w:sz="14" w:space="14"/>
        </w:pBdr>
        <w:spacing w:after="160" w:before="80" w:line="290"/>
        <w:ind w:left="280"/>
      </w:pPr>
      <w:r>
        <w:rPr>
          <w:rFonts w:ascii="Calibri" w:cs="Calibri" w:eastAsia="Calibri" w:hAnsi="Calibri"/>
          <w:b/>
          <w:bCs/>
          <w:color w:val="1A1A17"/>
          <w:sz w:val="20"/>
          <w:szCs w:val="20"/>
        </w:rPr>
        <w:t xml:space="preserve">A time-to-live on every action; a blast budget on every window; act-and-attest atomically, peer-countersigned. Destroy does not exist in the Watch.</w:t>
      </w:r>
    </w:p>
    <w:p>
      <w:pPr>
        <w:spacing w:after="150" w:line="292"/>
      </w:pPr>
      <w:r>
        <w:rPr>
          <w:rFonts w:ascii="Calibri" w:cs="Calibri" w:eastAsia="Calibri" w:hAnsi="Calibri"/>
          <w:b w:val="false"/>
          <w:bCs w:val="false"/>
          <w:i w:val="false"/>
          <w:iCs w:val="false"/>
          <w:color w:val="1A1A17"/>
          <w:sz w:val="20"/>
          <w:szCs w:val="20"/>
        </w:rPr>
        <w:t xml:space="preserve">Autonomy is safe by construction or it is not safe. An action that expires unless renewed converts the false positive from a harm into a delay; a budget converts the autoimmune attack — tricking the immune system into suspending the business — from an outage into a bounded cost; atomic attestation makes weaponizing the Watch impossible to do quietly, which for a detection system is the property that matters. And a power the tool structurally lacks cannot be turned: the Watch can stop anything and erase nothing — deletion remains solely the authority act of Document 3 §27.</w:t>
      </w:r>
    </w:p>
    <w:p>
      <w:pPr>
        <w:pStyle w:val="Heading2"/>
        <w:spacing w:after="110" w:before="280"/>
      </w:pPr>
      <w:r>
        <w:rPr>
          <w:rFonts w:ascii="Georgia" w:cs="Georgia" w:eastAsia="Georgia" w:hAnsi="Georgia"/>
          <w:b/>
          <w:bCs/>
          <w:color w:val="5C1A1E"/>
          <w:sz w:val="21"/>
          <w:szCs w:val="21"/>
        </w:rPr>
        <w:t xml:space="preserve">4.4  </w:t>
      </w:r>
      <w:r>
        <w:rPr>
          <w:rFonts w:ascii="Georgia" w:cs="Georgia" w:eastAsia="Georgia" w:hAnsi="Georgia"/>
          <w:b/>
          <w:bCs/>
          <w:color w:val="1B3350"/>
          <w:sz w:val="21"/>
          <w:szCs w:val="21"/>
        </w:rPr>
        <w:t xml:space="preserve">W4 · Deployed in force, never in shadow</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Watch mechanism ships with defined conditions of success and runs at full authority from first deployment. A mechanism whose parameters are undefined is a specification gap to close, never a reason to run tentatively.</w:t>
      </w:r>
    </w:p>
    <w:p>
      <w:pPr>
        <w:spacing w:after="150" w:line="292"/>
      </w:pPr>
      <w:r>
        <w:rPr>
          <w:rFonts w:ascii="Calibri" w:cs="Calibri" w:eastAsia="Calibri" w:hAnsi="Calibri"/>
          <w:b w:val="false"/>
          <w:bCs w:val="false"/>
          <w:i w:val="false"/>
          <w:iCs w:val="false"/>
          <w:color w:val="1A1A17"/>
          <w:sz w:val="20"/>
          <w:szCs w:val="20"/>
        </w:rPr>
        <w:t xml:space="preserve">The promise is response speed; a watching-only mode spends the entire value to buy nothing. This is the platform's single-experiment principle holding in the one place it is most tempting to break.</w:t>
      </w:r>
    </w:p>
    <w:p>
      <w:pPr>
        <w:pStyle w:val="Heading2"/>
        <w:spacing w:after="110" w:before="280"/>
      </w:pPr>
      <w:r>
        <w:rPr>
          <w:rFonts w:ascii="Georgia" w:cs="Georgia" w:eastAsia="Georgia" w:hAnsi="Georgia"/>
          <w:b/>
          <w:bCs/>
          <w:color w:val="5C1A1E"/>
          <w:sz w:val="21"/>
          <w:szCs w:val="21"/>
        </w:rPr>
        <w:t xml:space="preserve">4.5  </w:t>
      </w:r>
      <w:r>
        <w:rPr>
          <w:rFonts w:ascii="Georgia" w:cs="Georgia" w:eastAsia="Georgia" w:hAnsi="Georgia"/>
          <w:b/>
          <w:bCs/>
          <w:color w:val="1B3350"/>
          <w:sz w:val="21"/>
          <w:szCs w:val="21"/>
        </w:rPr>
        <w:t xml:space="preserve">W5 · One record, two readings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Watch maintains no account of anything but its own events, and its records are classes in the platform's one record per the matrix of Document 9. The deception the mirage shows an attacker is a rendering. The record never lies inward.</w:t>
      </w:r>
    </w:p>
    <w:p>
      <w:pPr>
        <w:spacing w:after="150" w:line="292"/>
      </w:pPr>
      <w:r>
        <w:rPr>
          <w:rFonts w:ascii="Calibri" w:cs="Calibri" w:eastAsia="Calibri" w:hAnsi="Calibri"/>
          <w:b w:val="false"/>
          <w:bCs w:val="false"/>
          <w:i w:val="false"/>
          <w:iCs w:val="false"/>
          <w:color w:val="1A1A17"/>
          <w:sz w:val="20"/>
          <w:szCs w:val="20"/>
        </w:rPr>
        <w:t xml:space="preserve">The Watch mints the first account of its own events — verdicts, actions, attestations, marks — and a second account of nobody else's. The compliance owner reads those records as assurance; the watch officer reads them as defence; the auditor and the defender can never disagree, because there is only one set of facts underneath both readings.</w:t>
      </w:r>
    </w:p>
    <w:p>
      <w:pPr>
        <w:pStyle w:val="Heading2"/>
        <w:spacing w:after="110" w:before="280"/>
      </w:pPr>
      <w:r>
        <w:rPr>
          <w:rFonts w:ascii="Georgia" w:cs="Georgia" w:eastAsia="Georgia" w:hAnsi="Georgia"/>
          <w:b/>
          <w:bCs/>
          <w:color w:val="5C1A1E"/>
          <w:sz w:val="21"/>
          <w:szCs w:val="21"/>
        </w:rPr>
        <w:t xml:space="preserve">4.6  </w:t>
      </w:r>
      <w:r>
        <w:rPr>
          <w:rFonts w:ascii="Georgia" w:cs="Georgia" w:eastAsia="Georgia" w:hAnsi="Georgia"/>
          <w:b/>
          <w:bCs/>
          <w:color w:val="1B3350"/>
          <w:sz w:val="21"/>
          <w:szCs w:val="21"/>
        </w:rPr>
        <w:t xml:space="preserve">W6 · Suspicion is refined, not accumulated</w:t>
      </w:r>
    </w:p>
    <w:p>
      <w:pPr>
        <w:pBdr>
          <w:left w:val="single" w:color="5C1A1E" w:sz="14" w:space="14"/>
        </w:pBdr>
        <w:spacing w:after="160" w:before="80" w:line="290"/>
        <w:ind w:left="280"/>
      </w:pPr>
      <w:r>
        <w:rPr>
          <w:rFonts w:ascii="Calibri" w:cs="Calibri" w:eastAsia="Calibri" w:hAnsi="Calibri"/>
          <w:b/>
          <w:bCs/>
          <w:color w:val="1A1A17"/>
          <w:sz w:val="20"/>
          <w:szCs w:val="20"/>
        </w:rPr>
        <w:t xml:space="preserve">Probabilistic detection routes to conditions — friction, narrowed envelopes, the mirage — where the actor's own conduct converts suspicion into certainty or innocence. The Watch does not convict on statistics.</w:t>
      </w:r>
    </w:p>
    <w:p>
      <w:pPr>
        <w:spacing w:after="150" w:line="292"/>
      </w:pPr>
      <w:r>
        <w:rPr>
          <w:rFonts w:ascii="Calibri" w:cs="Calibri" w:eastAsia="Calibri" w:hAnsi="Calibri"/>
          <w:b w:val="false"/>
          <w:bCs w:val="false"/>
          <w:i w:val="false"/>
          <w:iCs w:val="false"/>
          <w:color w:val="1A1A17"/>
          <w:sz w:val="20"/>
          <w:szCs w:val="20"/>
        </w:rPr>
        <w:t xml:space="preserve">The mirage is the refinery: an innocent misrouted into it does ordinary work, trips nothing, and releases on expiry; an attacker cannot help but incriminate, because the actions that advance the objective are exactly the actions that convict. Suspicion at eighty percent becomes caught touching a planted credential — zero false positives by construction — and only then does maximum force apply.</w:t>
      </w:r>
    </w:p>
    <w:p>
      <w:pPr>
        <w:pStyle w:val="Heading2"/>
        <w:spacing w:after="110" w:before="280"/>
      </w:pPr>
      <w:r>
        <w:rPr>
          <w:rFonts w:ascii="Georgia" w:cs="Georgia" w:eastAsia="Georgia" w:hAnsi="Georgia"/>
          <w:b/>
          <w:bCs/>
          <w:color w:val="5C1A1E"/>
          <w:sz w:val="21"/>
          <w:szCs w:val="21"/>
        </w:rPr>
        <w:t xml:space="preserve">4.7  </w:t>
      </w:r>
      <w:r>
        <w:rPr>
          <w:rFonts w:ascii="Georgia" w:cs="Georgia" w:eastAsia="Georgia" w:hAnsi="Georgia"/>
          <w:b/>
          <w:bCs/>
          <w:color w:val="1B3350"/>
          <w:sz w:val="21"/>
          <w:szCs w:val="21"/>
        </w:rPr>
        <w:t xml:space="preserve">W7 · Conformance grants trust; non-conformance never convicts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behavioural signature buys legitimate actors invisibility. Losing conformance returns an actor to baseline verification and nothing more; deviation combines with other signals and is never sole grounds past friction.</w:t>
      </w:r>
    </w:p>
    <w:p>
      <w:pPr>
        <w:spacing w:after="150" w:line="292"/>
      </w:pPr>
      <w:r>
        <w:rPr>
          <w:rFonts w:ascii="Calibri" w:cs="Calibri" w:eastAsia="Calibri" w:hAnsi="Calibri"/>
          <w:b w:val="false"/>
          <w:bCs w:val="false"/>
          <w:i w:val="false"/>
          <w:iCs w:val="false"/>
          <w:color w:val="1A1A17"/>
          <w:sz w:val="20"/>
          <w:szCs w:val="20"/>
        </w:rPr>
        <w:t xml:space="preserve">The worst the signature can ever do to an innocent is make their day ordinary. This asymmetry is what makes behavioural authentication survivable for the people it protects — and it is constitutional, not tunable.</w:t>
      </w:r>
    </w:p>
    <w:p>
      <w:pPr>
        <w:pStyle w:val="Heading2"/>
        <w:spacing w:after="110" w:before="280"/>
      </w:pPr>
      <w:r>
        <w:rPr>
          <w:rFonts w:ascii="Georgia" w:cs="Georgia" w:eastAsia="Georgia" w:hAnsi="Georgia"/>
          <w:b/>
          <w:bCs/>
          <w:color w:val="5C1A1E"/>
          <w:sz w:val="21"/>
          <w:szCs w:val="21"/>
        </w:rPr>
        <w:t xml:space="preserve">4.8  </w:t>
      </w:r>
      <w:r>
        <w:rPr>
          <w:rFonts w:ascii="Georgia" w:cs="Georgia" w:eastAsia="Georgia" w:hAnsi="Georgia"/>
          <w:b/>
          <w:bCs/>
          <w:color w:val="1B3350"/>
          <w:sz w:val="21"/>
          <w:szCs w:val="21"/>
        </w:rPr>
        <w:t xml:space="preserve">W8 · The floor never learns</w:t>
      </w:r>
    </w:p>
    <w:p>
      <w:pPr>
        <w:pBdr>
          <w:left w:val="single" w:color="5C1A1E" w:sz="14" w:space="14"/>
        </w:pBdr>
        <w:spacing w:after="160" w:before="80" w:line="290"/>
        <w:ind w:left="280"/>
      </w:pPr>
      <w:r>
        <w:rPr>
          <w:rFonts w:ascii="Calibri" w:cs="Calibri" w:eastAsia="Calibri" w:hAnsi="Calibri"/>
          <w:b/>
          <w:bCs/>
          <w:color w:val="1A1A17"/>
          <w:sz w:val="20"/>
          <w:szCs w:val="20"/>
        </w:rPr>
        <w:t xml:space="preserve">Beneath every adaptive layer stands the ruled floor — deterministic, moved only by visible, delayed, two-signature ceremony — and the ceremony is itself a monitored tripwire.</w:t>
      </w:r>
    </w:p>
    <w:p>
      <w:pPr>
        <w:spacing w:after="150" w:line="292"/>
      </w:pPr>
      <w:r>
        <w:rPr>
          <w:rFonts w:ascii="Calibri" w:cs="Calibri" w:eastAsia="Calibri" w:hAnsi="Calibri"/>
          <w:b w:val="false"/>
          <w:bCs w:val="false"/>
          <w:i w:val="false"/>
          <w:iCs w:val="false"/>
          <w:color w:val="1A1A17"/>
          <w:sz w:val="20"/>
          <w:szCs w:val="20"/>
        </w:rPr>
        <w:t xml:space="preserve">What learns can be taught; the slow play boils the learned profile one degree at a time. What is ruled cannot be taught, and an attacker who needs the floor moved must request it in daylight, on a countdown, under two names, with the Watch itself among the observers per Document 3 §24.</w:t>
      </w:r>
    </w:p>
    <w:p>
      <w:pPr>
        <w:pStyle w:val="Heading2"/>
        <w:spacing w:after="110" w:before="280"/>
      </w:pPr>
      <w:r>
        <w:rPr>
          <w:rFonts w:ascii="Georgia" w:cs="Georgia" w:eastAsia="Georgia" w:hAnsi="Georgia"/>
          <w:b/>
          <w:bCs/>
          <w:color w:val="5C1A1E"/>
          <w:sz w:val="21"/>
          <w:szCs w:val="21"/>
        </w:rPr>
        <w:t xml:space="preserve">4.9  </w:t>
      </w:r>
      <w:r>
        <w:rPr>
          <w:rFonts w:ascii="Georgia" w:cs="Georgia" w:eastAsia="Georgia" w:hAnsi="Georgia"/>
          <w:b/>
          <w:bCs/>
          <w:color w:val="1B3350"/>
          <w:sz w:val="21"/>
          <w:szCs w:val="21"/>
        </w:rPr>
        <w:t xml:space="preserve">W9 · No actor enters undeclared</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actor arrives with a declared mandate — objective, capabilities, and risks for an agent; role and interests for a person — frozen at admission, reconciled against for as long as the actor acts.</w:t>
      </w:r>
    </w:p>
    <w:p>
      <w:pPr>
        <w:spacing w:after="150" w:line="292"/>
      </w:pPr>
      <w:r>
        <w:rPr>
          <w:rFonts w:ascii="Calibri" w:cs="Calibri" w:eastAsia="Calibri" w:hAnsi="Calibri"/>
          <w:b w:val="false"/>
          <w:bCs w:val="false"/>
          <w:i w:val="false"/>
          <w:iCs w:val="false"/>
          <w:color w:val="1A1A17"/>
          <w:sz w:val="20"/>
          <w:szCs w:val="20"/>
        </w:rPr>
        <w:t xml:space="preserve">Intent divergence is undefined without declared intent; the declaration of Document 3 §6.1 is the baseline the Watch's reconciliation runs against. Re-declaration through the same admission path is the legitimate exit from honest change — undeclared drift is a signal; declared change is a non-event — and the undeclared actor operates under the default-restrictive envelope until characterised.</w:t>
      </w:r>
    </w:p>
    <w:p>
      <w:pPr>
        <w:pStyle w:val="Heading2"/>
        <w:spacing w:after="110" w:before="280"/>
      </w:pPr>
      <w:r>
        <w:rPr>
          <w:rFonts w:ascii="Georgia" w:cs="Georgia" w:eastAsia="Georgia" w:hAnsi="Georgia"/>
          <w:b/>
          <w:bCs/>
          <w:color w:val="5C1A1E"/>
          <w:sz w:val="21"/>
          <w:szCs w:val="21"/>
        </w:rPr>
        <w:t xml:space="preserve">4.10  </w:t>
      </w:r>
      <w:r>
        <w:rPr>
          <w:rFonts w:ascii="Georgia" w:cs="Georgia" w:eastAsia="Georgia" w:hAnsi="Georgia"/>
          <w:b/>
          <w:bCs/>
          <w:color w:val="1B3350"/>
          <w:sz w:val="21"/>
          <w:szCs w:val="21"/>
        </w:rPr>
        <w:t xml:space="preserve">W10 · The watcher is watched from outside</w:t>
      </w:r>
    </w:p>
    <w:p>
      <w:pPr>
        <w:pBdr>
          <w:left w:val="single" w:color="5C1A1E" w:sz="14" w:space="14"/>
        </w:pBdr>
        <w:spacing w:after="160" w:before="80" w:line="290"/>
        <w:ind w:left="280"/>
      </w:pPr>
      <w:r>
        <w:rPr>
          <w:rFonts w:ascii="Calibri" w:cs="Calibri" w:eastAsia="Calibri" w:hAnsi="Calibri"/>
          <w:b/>
          <w:bCs/>
          <w:color w:val="1A1A17"/>
          <w:sz w:val="20"/>
          <w:szCs w:val="20"/>
        </w:rPr>
        <w:t xml:space="preserve">Watch liveness is attested by a component holding no Watch credentials; Watch silence is itself an alarm; the platform's fail-closed posture is independent of the Watch entirely.</w:t>
      </w:r>
    </w:p>
    <w:p>
      <w:pPr>
        <w:spacing w:after="150" w:line="292"/>
      </w:pPr>
      <w:r>
        <w:rPr>
          <w:rFonts w:ascii="Calibri" w:cs="Calibri" w:eastAsia="Calibri" w:hAnsi="Calibri"/>
          <w:b w:val="false"/>
          <w:bCs w:val="false"/>
          <w:i w:val="false"/>
          <w:iCs w:val="false"/>
          <w:color w:val="1A1A17"/>
          <w:sz w:val="20"/>
          <w:szCs w:val="20"/>
        </w:rPr>
        <w:t xml:space="preserve">The service whose compromise would mean going unobserved must be incapable of unobserved existence — and equally incapable of failing anything open. Custody gates fail closed on their own, per Document 1 §4.1, with or without the Watch above them.</w:t>
      </w:r>
    </w:p>
    <w:p>
      <w:pPr>
        <w:pStyle w:val="Heading2"/>
        <w:spacing w:after="110" w:before="280"/>
      </w:pPr>
      <w:r>
        <w:rPr>
          <w:rFonts w:ascii="Georgia" w:cs="Georgia" w:eastAsia="Georgia" w:hAnsi="Georgia"/>
          <w:b/>
          <w:bCs/>
          <w:color w:val="5C1A1E"/>
          <w:sz w:val="21"/>
          <w:szCs w:val="21"/>
        </w:rPr>
        <w:t xml:space="preserve">4.11  </w:t>
      </w:r>
      <w:r>
        <w:rPr>
          <w:rFonts w:ascii="Georgia" w:cs="Georgia" w:eastAsia="Georgia" w:hAnsi="Georgia"/>
          <w:b/>
          <w:bCs/>
          <w:color w:val="1B3350"/>
          <w:sz w:val="21"/>
          <w:szCs w:val="21"/>
        </w:rPr>
        <w:t xml:space="preserve">W11 · One task, one identity</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task executes under exactly one authority's identity and scope. Capacity is shared across time; execution is never shared within a task.</w:t>
      </w:r>
    </w:p>
    <w:p>
      <w:pPr>
        <w:spacing w:after="150" w:line="292"/>
      </w:pPr>
      <w:r>
        <w:rPr>
          <w:rFonts w:ascii="Calibri" w:cs="Calibri" w:eastAsia="Calibri" w:hAnsi="Calibri"/>
          <w:b w:val="false"/>
          <w:bCs w:val="false"/>
          <w:i w:val="false"/>
          <w:iCs w:val="false"/>
          <w:color w:val="1A1A17"/>
          <w:sz w:val="20"/>
          <w:szCs w:val="20"/>
        </w:rPr>
        <w:t xml:space="preserve">The blended-privilege surface — a task that could see like security and decide like governance — must not exist to be compromised. Dual identity is unrepresentable in the task register of Document 9, not policed; its appearance anywhere is defect class D8.</w:t>
      </w:r>
    </w:p>
    <w:p>
      <w:pPr>
        <w:pStyle w:val="Heading2"/>
        <w:spacing w:after="110" w:before="280"/>
      </w:pPr>
      <w:r>
        <w:rPr>
          <w:rFonts w:ascii="Georgia" w:cs="Georgia" w:eastAsia="Georgia" w:hAnsi="Georgia"/>
          <w:b/>
          <w:bCs/>
          <w:color w:val="5C1A1E"/>
          <w:sz w:val="21"/>
          <w:szCs w:val="21"/>
        </w:rPr>
        <w:t xml:space="preserve">4.12  </w:t>
      </w:r>
      <w:r>
        <w:rPr>
          <w:rFonts w:ascii="Georgia" w:cs="Georgia" w:eastAsia="Georgia" w:hAnsi="Georgia"/>
          <w:b/>
          <w:bCs/>
          <w:color w:val="1B3350"/>
          <w:sz w:val="21"/>
          <w:szCs w:val="21"/>
        </w:rPr>
        <w:t xml:space="preserve">W12 · Peer, not subordinate</w:t>
      </w:r>
    </w:p>
    <w:p>
      <w:pPr>
        <w:pBdr>
          <w:left w:val="single" w:color="5C1A1E" w:sz="14" w:space="14"/>
        </w:pBdr>
        <w:spacing w:after="160" w:before="80" w:line="290"/>
        <w:ind w:left="280"/>
      </w:pPr>
      <w:r>
        <w:rPr>
          <w:rFonts w:ascii="Calibri" w:cs="Calibri" w:eastAsia="Calibri" w:hAnsi="Calibri"/>
          <w:b/>
          <w:bCs/>
          <w:color w:val="1A1A17"/>
          <w:sz w:val="20"/>
          <w:szCs w:val="20"/>
        </w:rPr>
        <w:t xml:space="preserve">Neither authority commands the other or writes the other's law. Disagreement — permitted but not intended — resolves by temporary, reversible containment plus a person, and the disagreement itself is a record.</w:t>
      </w:r>
    </w:p>
    <w:p>
      <w:pPr>
        <w:spacing w:after="150" w:line="292"/>
      </w:pPr>
      <w:r>
        <w:rPr>
          <w:rFonts w:ascii="Calibri" w:cs="Calibri" w:eastAsia="Calibri" w:hAnsi="Calibri"/>
          <w:b w:val="false"/>
          <w:bCs w:val="false"/>
          <w:i w:val="false"/>
          <w:iCs w:val="false"/>
          <w:color w:val="1A1A17"/>
          <w:sz w:val="20"/>
          <w:szCs w:val="20"/>
        </w:rPr>
        <w:t xml:space="preserve">A security function that reports to the thing it must be able to contain loses exactly the fight that is the product: the clean receipt with the wrong intent. The Watch authors its own policy; the rules service administers the ceremony of changing it, without editorial power — and symmetrically, governance rules bind the Watch's workers like anyone's.</w:t>
      </w:r>
    </w:p>
    <w:p>
      <w:pPr>
        <w:pStyle w:val="Heading2"/>
        <w:spacing w:after="110" w:before="280"/>
      </w:pPr>
      <w:r>
        <w:rPr>
          <w:rFonts w:ascii="Georgia" w:cs="Georgia" w:eastAsia="Georgia" w:hAnsi="Georgia"/>
          <w:b/>
          <w:bCs/>
          <w:color w:val="5C1A1E"/>
          <w:sz w:val="21"/>
          <w:szCs w:val="21"/>
        </w:rPr>
        <w:t xml:space="preserve">4.13  </w:t>
      </w:r>
      <w:r>
        <w:rPr>
          <w:rFonts w:ascii="Georgia" w:cs="Georgia" w:eastAsia="Georgia" w:hAnsi="Georgia"/>
          <w:b/>
          <w:bCs/>
          <w:color w:val="1B3350"/>
          <w:sz w:val="21"/>
          <w:szCs w:val="21"/>
        </w:rPr>
        <w:t xml:space="preserve">W13 · The profile is armory, not inventory</w:t>
      </w:r>
    </w:p>
    <w:p>
      <w:pPr>
        <w:pBdr>
          <w:left w:val="single" w:color="5C1A1E" w:sz="14" w:space="14"/>
        </w:pBdr>
        <w:spacing w:after="160" w:before="80" w:line="290"/>
        <w:ind w:left="280"/>
      </w:pPr>
      <w:r>
        <w:rPr>
          <w:rFonts w:ascii="Calibri" w:cs="Calibri" w:eastAsia="Calibri" w:hAnsi="Calibri"/>
          <w:b/>
          <w:bCs/>
          <w:color w:val="1A1A17"/>
          <w:sz w:val="20"/>
          <w:szCs w:val="20"/>
        </w:rPr>
        <w:t xml:space="preserve">Behavioural-conformance parameters are per-actor, tenant-keyed, non-exportable, purpose-bound to the Watch alone, and renderable to no surface, export, or analytic — ever.</w:t>
      </w:r>
    </w:p>
    <w:p>
      <w:pPr>
        <w:spacing w:after="150" w:line="292"/>
      </w:pPr>
      <w:r>
        <w:rPr>
          <w:rFonts w:ascii="Calibri" w:cs="Calibri" w:eastAsia="Calibri" w:hAnsi="Calibri"/>
          <w:b w:val="false"/>
          <w:bCs w:val="false"/>
          <w:i w:val="false"/>
          <w:iCs w:val="false"/>
          <w:color w:val="1A1A17"/>
          <w:sz w:val="20"/>
          <w:szCs w:val="20"/>
        </w:rPr>
        <w:t xml:space="preserve">A trust mark that leaks into scoring, pricing, or management visibility becomes surveillance, and surveillance destroys the trust the product sells. The store holds learned parameters, never the raw action history that trained them; no read path to its internals exists for any surface, including the Watch's own console. These parameters are a security instrument with a security owner — a different object entirely from the identification biometrics whose register Document 1 §4.2 forbids, and neither is ever a field in the other.</w:t>
      </w:r>
    </w:p>
    <w:p>
      <w:pPr>
        <w:pStyle w:val="Heading2"/>
        <w:spacing w:after="110" w:before="280"/>
      </w:pPr>
      <w:r>
        <w:rPr>
          <w:rFonts w:ascii="Georgia" w:cs="Georgia" w:eastAsia="Georgia" w:hAnsi="Georgia"/>
          <w:b/>
          <w:bCs/>
          <w:color w:val="5C1A1E"/>
          <w:sz w:val="21"/>
          <w:szCs w:val="21"/>
        </w:rPr>
        <w:t xml:space="preserve">4.14  </w:t>
      </w:r>
      <w:r>
        <w:rPr>
          <w:rFonts w:ascii="Georgia" w:cs="Georgia" w:eastAsia="Georgia" w:hAnsi="Georgia"/>
          <w:b/>
          <w:bCs/>
          <w:color w:val="1B3350"/>
          <w:sz w:val="21"/>
          <w:szCs w:val="21"/>
        </w:rPr>
        <w:t xml:space="preserve">W14 · Self-proving, or not in force</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response rail demonstrates itself firing on a standing drill cadence — full loop, both engines, latencies measured, results as receipts. A rail not demonstrated firing is not in force, whatever the inventory claims.</w:t>
      </w:r>
    </w:p>
    <w:p>
      <w:pPr>
        <w:spacing w:after="150" w:line="292"/>
      </w:pPr>
      <w:r>
        <w:rPr>
          <w:rFonts w:ascii="Calibri" w:cs="Calibri" w:eastAsia="Calibri" w:hAnsi="Calibri"/>
          <w:b w:val="false"/>
          <w:bCs w:val="false"/>
          <w:i w:val="false"/>
          <w:iCs w:val="false"/>
          <w:color w:val="1A1A17"/>
          <w:sz w:val="20"/>
          <w:szCs w:val="20"/>
        </w:rPr>
        <w:t xml:space="preserve">The drill receipts are the audit. When the compliance owner, a customer, or a regulator asks whether the Watch works, the answer is a standing dataset requiring no human assembly — which is what *auditable without much human intervention* means, delivered by the same mechanism that keeps the Watch honest with itself.</w:t>
      </w:r>
    </w:p>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Two Engines, One Verdict</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Macho — The Eyes</w:t>
      </w:r>
    </w:p>
    <w:p>
      <w:pPr>
        <w:spacing w:after="150" w:line="292"/>
      </w:pPr>
      <w:r>
        <w:rPr>
          <w:rFonts w:ascii="Calibri" w:cs="Calibri" w:eastAsia="Calibri" w:hAnsi="Calibri"/>
          <w:b w:val="false"/>
          <w:bCs w:val="false"/>
          <w:i w:val="false"/>
          <w:iCs w:val="false"/>
          <w:color w:val="1A1A17"/>
          <w:sz w:val="20"/>
          <w:szCs w:val="20"/>
        </w:rPr>
        <w:t xml:space="preserve">Macho observes, scores, and asserts facts. It holds no powers: it cannot block, throttle, mark, reroute, or notify. Its sole output is the verdict. Because it is consequence-blind, it is judged on one thing only — whether the fact was true — and its corpora, models, and thresholds evolve without a single response rule moving.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Sensor</w:t>
            </w:r>
          </w:p>
        </w:tc>
        <w:tc>
          <w:tcPr>
            <w:tcW w:type="dxa" w:w="67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asserts</w:t>
            </w:r>
          </w:p>
        </w:tc>
      </w:tr>
      <w:tr>
        <w:tc>
          <w:tcPr>
            <w:tcW w:type="dxa" w:w="2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Lango · the input seat</w:t>
            </w:r>
          </w:p>
        </w:tc>
        <w:tc>
          <w:tcPr>
            <w:tcW w:type="dxa" w:w="67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 payload bound for a model — prompt, retrieved unit, tool result, memory read, agent instruction — scored for hostility and provenance at the boundary governor's chokepoint, between de-identification and invocation, per Document 3 §13.1. Graded verdicts: pass, annotate, hold, block.</w:t>
            </w:r>
          </w:p>
        </w:tc>
      </w:tr>
      <w:tr>
        <w:tc>
          <w:tcPr>
            <w:tcW w:type="dxa" w:w="2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envelope, read as drift</w:t>
            </w:r>
          </w:p>
        </w:tc>
        <w:tc>
          <w:tcPr>
            <w:tcW w:type="dxa" w:w="67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 actor's behavioural envelope — tools, data classes, rhythm, depth — departed from. One substrate with the signature below; this is its negative reading.</w:t>
            </w:r>
          </w:p>
        </w:tc>
      </w:tr>
      <w:tr>
        <w:tc>
          <w:tcPr>
            <w:tcW w:type="dxa" w:w="2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reconciler</w:t>
            </w:r>
          </w:p>
        </w:tc>
        <w:tc>
          <w:tcPr>
            <w:tcW w:type="dxa" w:w="67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Realised action trees reconciled against declared mandates — the intent question itself, computed off the hot path within its latency bound. A divergence verdict that cannot walk back to its originating instruction is an opinion and does not count.</w:t>
            </w:r>
          </w:p>
        </w:tc>
      </w:tr>
      <w:tr>
        <w:tc>
          <w:tcPr>
            <w:tcW w:type="dxa" w:w="2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cohort</w:t>
            </w:r>
          </w:p>
        </w:tc>
        <w:tc>
          <w:tcPr>
            <w:tcW w:type="dxa" w:w="67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Individual conduct against the population's compliance norm — the reading that catches the actor whose drift is invisible against their own history and loud against their peers.</w:t>
            </w:r>
          </w:p>
        </w:tc>
      </w:tr>
      <w:tr>
        <w:tc>
          <w:tcPr>
            <w:tcW w:type="dxa" w:w="2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collision detector</w:t>
            </w:r>
          </w:p>
        </w:tc>
        <w:tc>
          <w:tcPr>
            <w:tcW w:type="dxa" w:w="67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Behavioural signatures are effectively unique at full dimensionality. One signature alive in two divergent embodiments is a hijack in the act; a “new” actor resolving onto a marked signature is a re-entry. Both are near-structural.</w:t>
            </w:r>
          </w:p>
        </w:tc>
      </w:tr>
      <w:tr>
        <w:tc>
          <w:tcPr>
            <w:tcW w:type="dxa" w:w="2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tripwires</w:t>
            </w:r>
          </w:p>
        </w:tc>
        <w:tc>
          <w:tcPr>
            <w:tcW w:type="dxa" w:w="67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Planted records, decoy credentials, dyed data — indistinguishable from real to every automated process, reachable by no legitimate path. Any touch is structural certainty, the one detector with a zero false-positive rate by construction.</w:t>
            </w:r>
          </w:p>
        </w:tc>
      </w:tr>
      <w:tr>
        <w:tc>
          <w:tcPr>
            <w:tcW w:type="dxa" w:w="2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mark reader</w:t>
            </w:r>
          </w:p>
        </w:tc>
        <w:tc>
          <w:tcPr>
            <w:tcW w:type="dxa" w:w="67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 gate's mark evaluation, read back as fresh verdicts — the feedback loop that makes a marked actor's every move a new detection.</w:t>
            </w:r>
          </w:p>
        </w:tc>
      </w:tr>
    </w:tbl>
    <w:p>
      <w:pPr>
        <w:spacing w:after="150"/>
      </w:pPr>
    </w:p>
    <w:p>
      <w:pPr>
        <w:pBdr>
          <w:left w:val="single" w:color="5C1A1E" w:sz="14" w:space="14"/>
        </w:pBdr>
        <w:spacing w:after="160" w:before="80" w:line="290"/>
        <w:ind w:left="280"/>
      </w:pPr>
      <w:r>
        <w:rPr>
          <w:rFonts w:ascii="Calibri" w:cs="Calibri" w:eastAsia="Calibri" w:hAnsi="Calibri"/>
          <w:b/>
          <w:bCs/>
          <w:color w:val="1A1A17"/>
          <w:sz w:val="20"/>
          <w:szCs w:val="20"/>
        </w:rPr>
        <w:t xml:space="preserve">Detection models are learned and governed like every learned component on the platform: calibrated through the one calibration mechanism of Document 4 §49, their detection rates measured on uncurated samples drawn from real traffic composition per Document 1 §4.10 — engineering the corpus is craft; touching the verdict sample is a defect — and a stale detector renders uncalibrated and loses its structural-certainty rights until refreshed.</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The Verdict</w:t>
      </w:r>
    </w:p>
    <w:p>
      <w:pPr>
        <w:spacing w:after="150" w:line="292"/>
      </w:pPr>
      <w:r>
        <w:rPr>
          <w:rFonts w:ascii="Calibri" w:cs="Calibri" w:eastAsia="Calibri" w:hAnsi="Calibri"/>
          <w:b w:val="false"/>
          <w:bCs w:val="false"/>
          <w:i w:val="false"/>
          <w:iCs w:val="false"/>
          <w:color w:val="1A1A17"/>
          <w:sz w:val="20"/>
          <w:szCs w:val="20"/>
        </w:rPr>
        <w:t xml:space="preserve">The two engines meet at exactly one interface: a contract-grade verdict row, externally versioned and closed like the refusal registries, signed and replayable like the trust receipt.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Field</w:t>
            </w:r>
          </w:p>
        </w:tc>
        <w:tc>
          <w:tcPr>
            <w:tcW w:type="dxa" w:w="65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settles</w:t>
            </w:r>
          </w:p>
        </w:tc>
      </w:tr>
      <w:tr>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verdict identity · detector · pinned version</w:t>
            </w:r>
          </w:p>
        </w:tc>
        <w:tc>
          <w:tcPr>
            <w:tcW w:type="dxa" w:w="6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Replayability: the same record and the same version re-derive the same verdict, or it is not evidence.</w:t>
            </w:r>
          </w:p>
        </w:tc>
      </w:tr>
      <w:tr>
        <w:tc>
          <w:tcPr>
            <w:tcW w:type="dxa" w:w="25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actor · trace reference</w:t>
            </w:r>
          </w:p>
        </w:tc>
        <w:tc>
          <w:tcPr>
            <w:tcW w:type="dxa" w:w="65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Who, and the walkable causal chain to the originating instruction.</w:t>
            </w:r>
          </w:p>
        </w:tc>
      </w:tr>
      <w:tr>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signal class</w:t>
            </w:r>
          </w:p>
        </w:tc>
        <w:tc>
          <w:tcPr>
            <w:tcW w:type="dxa" w:w="6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From the closed signal registry. Additions are registry version bumps, never ad-hoc classes.</w:t>
            </w:r>
          </w:p>
        </w:tc>
      </w:tr>
      <w:tr>
        <w:tc>
          <w:tcPr>
            <w:tcW w:type="dxa" w:w="25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certainty class</w:t>
            </w:r>
          </w:p>
        </w:tc>
        <w:tc>
          <w:tcPr>
            <w:tcW w:type="dxa" w:w="65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Structural, high, or probabilistic — asserted by the construction rules of W2, with steerability pinned per class in the registry, never judged per event.</w:t>
            </w:r>
          </w:p>
        </w:tc>
      </w:tr>
      <w:tr>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score · window · evidence references</w:t>
            </w:r>
          </w:p>
        </w:tc>
        <w:tc>
          <w:tcPr>
            <w:tcW w:type="dxa" w:w="6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replayable substance, every reference resolving into the record.</w:t>
            </w:r>
          </w:p>
        </w:tc>
      </w:tr>
    </w:tbl>
    <w:p>
      <w:pPr>
        <w:spacing w:after="150"/>
      </w:pPr>
    </w:p>
    <w:p>
      <w:pPr>
        <w:spacing w:after="150" w:line="292"/>
      </w:pPr>
      <w:r>
        <w:rPr>
          <w:rFonts w:ascii="Calibri" w:cs="Calibri" w:eastAsia="Calibri" w:hAnsi="Calibri"/>
          <w:b w:val="false"/>
          <w:bCs w:val="false"/>
          <w:i w:val="false"/>
          <w:iCs w:val="false"/>
          <w:color w:val="1A1A17"/>
          <w:sz w:val="20"/>
          <w:szCs w:val="20"/>
        </w:rPr>
        <w:t xml:space="preserve">Everything the hand needs is in the verdict; Mkono never reaches behind the seam to inspect raw behaviour. That single constraint is what makes each half separately auditable — and what bounds a corrupted eye: a compromised detector can lie, but a lie in a steerable signal class can summon at most a containment with an expiry.</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Mkono — The Hand</w:t>
      </w:r>
    </w:p>
    <w:p>
      <w:pPr>
        <w:spacing w:after="150" w:line="292"/>
      </w:pPr>
      <w:r>
        <w:rPr>
          <w:rFonts w:ascii="Calibri" w:cs="Calibri" w:eastAsia="Calibri" w:hAnsi="Calibri"/>
          <w:b w:val="false"/>
          <w:bCs w:val="false"/>
          <w:i w:val="false"/>
          <w:iCs w:val="false"/>
          <w:color w:val="1A1A17"/>
          <w:sz w:val="20"/>
          <w:szCs w:val="20"/>
        </w:rPr>
        <w:t xml:space="preserve">Mkono executes signed policy tables against verdicts. It contains no model, no content parsing, no reasoning surface — a deterministic mapping small enough to verify exhaustively, which makes the component holding all the power the least interesting one to compromise. Policy tables are Registries-class governed values under Document 3 §22, authored by the Watch, changed only through ceremony, with every table version signed and every action citing the row that fired.</w:t>
      </w:r>
    </w:p>
    <w:p>
      <w:pPr>
        <w:spacing w:after="150" w:line="292"/>
      </w:pPr>
      <w:r>
        <w:rPr>
          <w:rFonts w:ascii="Calibri" w:cs="Calibri" w:eastAsia="Calibri" w:hAnsi="Calibri"/>
          <w:b w:val="false"/>
          <w:bCs w:val="false"/>
          <w:i w:val="false"/>
          <w:iCs w:val="false"/>
          <w:color w:val="1A1A17"/>
          <w:sz w:val="20"/>
          <w:szCs w:val="20"/>
        </w:rPr>
        <w:t xml:space="preserve">The action ladder has four classes — </w:t>
      </w:r>
      <w:r>
        <w:rPr>
          <w:rFonts w:ascii="Calibri" w:cs="Calibri" w:eastAsia="Calibri" w:hAnsi="Calibri"/>
          <w:b/>
          <w:bCs/>
          <w:i w:val="false"/>
          <w:iCs w:val="false"/>
          <w:color w:val="1A1A17"/>
          <w:sz w:val="20"/>
          <w:szCs w:val="20"/>
        </w:rPr>
        <w:t xml:space="preserve">annotate</w:t>
      </w:r>
      <w:r>
        <w:rPr>
          <w:rFonts w:ascii="Calibri" w:cs="Calibri" w:eastAsia="Calibri" w:hAnsi="Calibri"/>
          <w:b w:val="false"/>
          <w:bCs w:val="false"/>
          <w:i w:val="false"/>
          <w:iCs w:val="false"/>
          <w:color w:val="1A1A17"/>
          <w:sz w:val="20"/>
          <w:szCs w:val="20"/>
        </w:rPr>
        <w:t xml:space="preserve"> (mark the record, change nothing), </w:t>
      </w:r>
      <w:r>
        <w:rPr>
          <w:rFonts w:ascii="Calibri" w:cs="Calibri" w:eastAsia="Calibri" w:hAnsi="Calibri"/>
          <w:b/>
          <w:bCs/>
          <w:i w:val="false"/>
          <w:iCs w:val="false"/>
          <w:color w:val="1A1A17"/>
          <w:sz w:val="20"/>
          <w:szCs w:val="20"/>
        </w:rPr>
        <w:t xml:space="preserve">shape</w:t>
      </w:r>
      <w:r>
        <w:rPr>
          <w:rFonts w:ascii="Calibri" w:cs="Calibri" w:eastAsia="Calibri" w:hAnsi="Calibri"/>
          <w:b w:val="false"/>
          <w:bCs w:val="false"/>
          <w:i w:val="false"/>
          <w:iCs w:val="false"/>
          <w:color w:val="1A1A17"/>
          <w:sz w:val="20"/>
          <w:szCs w:val="20"/>
        </w:rPr>
        <w:t xml:space="preserve"> (friction: throttle, stricter masking, step-up verification, a single output held), </w:t>
      </w:r>
      <w:r>
        <w:rPr>
          <w:rFonts w:ascii="Calibri" w:cs="Calibri" w:eastAsia="Calibri" w:hAnsi="Calibri"/>
          <w:b/>
          <w:bCs/>
          <w:i w:val="false"/>
          <w:iCs w:val="false"/>
          <w:color w:val="1A1A17"/>
          <w:sz w:val="20"/>
          <w:szCs w:val="20"/>
        </w:rPr>
        <w:t xml:space="preserve">contain</w:t>
      </w:r>
      <w:r>
        <w:rPr>
          <w:rFonts w:ascii="Calibri" w:cs="Calibri" w:eastAsia="Calibri" w:hAnsi="Calibri"/>
          <w:b w:val="false"/>
          <w:bCs w:val="false"/>
          <w:i w:val="false"/>
          <w:iCs w:val="false"/>
          <w:color w:val="1A1A17"/>
          <w:sz w:val="20"/>
          <w:szCs w:val="20"/>
        </w:rPr>
        <w:t xml:space="preserve"> (suspend capability, preserve state, always with a time-to-live), and </w:t>
      </w:r>
      <w:r>
        <w:rPr>
          <w:rFonts w:ascii="Calibri" w:cs="Calibri" w:eastAsia="Calibri" w:hAnsi="Calibri"/>
          <w:b/>
          <w:bCs/>
          <w:i w:val="false"/>
          <w:iCs w:val="false"/>
          <w:color w:val="1A1A17"/>
          <w:sz w:val="20"/>
          <w:szCs w:val="20"/>
        </w:rPr>
        <w:t xml:space="preserve">sever</w:t>
      </w:r>
      <w:r>
        <w:rPr>
          <w:rFonts w:ascii="Calibri" w:cs="Calibri" w:eastAsia="Calibri" w:hAnsi="Calibri"/>
          <w:b w:val="false"/>
          <w:bCs w:val="false"/>
          <w:i w:val="false"/>
          <w:iCs w:val="false"/>
          <w:color w:val="1A1A17"/>
          <w:sz w:val="20"/>
          <w:szCs w:val="20"/>
        </w:rPr>
        <w:t xml:space="preserve"> (cut access or trust, hold rather than expire). There is no fifth class: destroy does not exist in the Watch, per W3.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26"/>
      </w:tblGrid>
      <w:tr>
        <w:trPr>
          <w:tblHeader/>
        </w:trPr>
        <w:tc>
          <w:tcPr>
            <w:tcW w:type="dxa" w:w="21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Detection posture</w:t>
            </w:r>
          </w:p>
        </w:tc>
        <w:tc>
          <w:tcPr>
            <w:tcW w:type="dxa" w:w="3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Autonomous ceiling</w:t>
            </w:r>
          </w:p>
        </w:tc>
        <w:tc>
          <w:tcPr>
            <w:tcW w:type="dxa" w:w="35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The reasoning</w:t>
            </w:r>
          </w:p>
        </w:tc>
      </w:tr>
      <w:t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Structural certainty</w:t>
            </w:r>
          </w:p>
        </w:tc>
        <w:tc>
          <w:tcPr>
            <w:tcW w:type="dxa" w:w="3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Sever, and hold</w:t>
            </w:r>
          </w:p>
        </w:tc>
        <w:tc>
          <w:tcPr>
            <w:tcW w:type="dxa" w:w="3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convicting signal cannot be fabricated from outside; releasing a caught attacker on a timer would be the one wrong use of expiry. The alarm sounds in parallel — people are informed while the machine acts, never consulted before it.</w:t>
            </w:r>
          </w:p>
        </w:tc>
      </w:tr>
      <w:tr>
        <w:tc>
          <w:tcPr>
            <w:tcW w:type="dxa" w:w="2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High, steerable</w:t>
            </w:r>
          </w:p>
        </w:tc>
        <w:tc>
          <w:tcPr>
            <w:tcW w:type="dxa" w:w="34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Contain, with expiry — or the mirage</w:t>
            </w:r>
          </w:p>
        </w:tc>
        <w:tc>
          <w:tcPr>
            <w:tcW w:type="dxa" w:w="35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Contain already achieves the stop; severance adds disruption without stopping power. The mirage entry threshold sits above the containment threshold, because deceiving an innocent is a worse harm than throttling one.</w:t>
            </w:r>
          </w:p>
        </w:tc>
      </w:tr>
      <w:t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Probabilistic</w:t>
            </w:r>
          </w:p>
        </w:tc>
        <w:tc>
          <w:tcPr>
            <w:tcW w:type="dxa" w:w="3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Shape only, with expiry</w:t>
            </w:r>
          </w:p>
        </w:tc>
        <w:tc>
          <w:tcPr>
            <w:tcW w:type="dxa" w:w="3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Friction is visible and honest, cheap to be wrong about, and self-healing on the expiry.</w:t>
            </w:r>
          </w:p>
        </w:tc>
      </w:tr>
      <w:tr>
        <w:tc>
          <w:tcPr>
            <w:tcW w:type="dxa" w:w="2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Ambiguous · first-seen</w:t>
            </w:r>
          </w:p>
        </w:tc>
        <w:tc>
          <w:tcPr>
            <w:tcW w:type="dxa" w:w="34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Default-restrictive envelope</w:t>
            </w:r>
          </w:p>
        </w:tc>
        <w:tc>
          <w:tcPr>
            <w:tcW w:type="dxa" w:w="35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Unknown never means unconstrained — and never means punished either.</w:t>
            </w:r>
          </w:p>
        </w:tc>
      </w:tr>
    </w:tbl>
    <w:p>
      <w:pPr>
        <w:spacing w:after="150"/>
      </w:pPr>
    </w:p>
    <w:p>
      <w:pPr>
        <w:pBdr>
          <w:left w:val="single" w:color="5C1A1E" w:sz="14" w:space="14"/>
        </w:pBdr>
        <w:spacing w:after="160" w:before="80" w:line="290"/>
        <w:ind w:left="280"/>
      </w:pPr>
      <w:r>
        <w:rPr>
          <w:rFonts w:ascii="Calibri" w:cs="Calibri" w:eastAsia="Calibri" w:hAnsi="Calibri"/>
          <w:b/>
          <w:bCs/>
          <w:color w:val="1A1A17"/>
          <w:sz w:val="20"/>
          <w:szCs w:val="20"/>
        </w:rPr>
        <w:t xml:space="preserve">Two ceilings bound the whole ladder. The blast budget: autonomous action may touch at most its ruled share of active actors per rolling window; beyond it, further actions queue for human release — an attacker who triggers the immune system deliberately buys a bounded cost, never an outage. And the friction budget: the share of legitimate actions experiencing any Watch friction has a hard ceiling, because invisibility is not an aesthetic — it is a measured number, and the trust discount of Part IV is what funds it.</w:t>
      </w:r>
    </w:p>
    <w:p>
      <w:pPr>
        <w:spacing w:after="150" w:line="292"/>
      </w:pPr>
      <w:r>
        <w:rPr>
          <w:rFonts w:ascii="Calibri" w:cs="Calibri" w:eastAsia="Calibri" w:hAnsi="Calibri"/>
          <w:b w:val="false"/>
          <w:bCs w:val="false"/>
          <w:i w:val="false"/>
          <w:iCs w:val="false"/>
          <w:color w:val="1A1A17"/>
          <w:sz w:val="20"/>
          <w:szCs w:val="20"/>
        </w:rPr>
        <w:t xml:space="preserve">Three disciplines keep the ladder honest under adversarial pressure. </w:t>
      </w:r>
      <w:r>
        <w:rPr>
          <w:rFonts w:ascii="Calibri" w:cs="Calibri" w:eastAsia="Calibri" w:hAnsi="Calibri"/>
          <w:b/>
          <w:bCs/>
          <w:i w:val="false"/>
          <w:iCs w:val="false"/>
          <w:color w:val="1A1A17"/>
          <w:sz w:val="20"/>
          <w:szCs w:val="20"/>
        </w:rPr>
        <w:t xml:space="preserve">Hysteresis</w:t>
      </w:r>
      <w:r>
        <w:rPr>
          <w:rFonts w:ascii="Calibri" w:cs="Calibri" w:eastAsia="Calibri" w:hAnsi="Calibri"/>
          <w:b w:val="false"/>
          <w:bCs w:val="false"/>
          <w:i w:val="false"/>
          <w:iCs w:val="false"/>
          <w:color w:val="1A1A17"/>
          <w:sz w:val="20"/>
          <w:szCs w:val="20"/>
        </w:rPr>
        <w:t xml:space="preserve">: a released actor carries a cooldown before re-action on the same signal class, with escalating dwell — and the contain-release-contain pattern is itself a reportable anomaly. </w:t>
      </w:r>
      <w:r>
        <w:rPr>
          <w:rFonts w:ascii="Calibri" w:cs="Calibri" w:eastAsia="Calibri" w:hAnsi="Calibri"/>
          <w:b/>
          <w:bCs/>
          <w:i w:val="false"/>
          <w:iCs w:val="false"/>
          <w:color w:val="1A1A17"/>
          <w:sz w:val="20"/>
          <w:szCs w:val="20"/>
        </w:rPr>
        <w:t xml:space="preserve">Jittered bands</w:t>
      </w:r>
      <w:r>
        <w:rPr>
          <w:rFonts w:ascii="Calibri" w:cs="Calibri" w:eastAsia="Calibri" w:hAnsi="Calibri"/>
          <w:b w:val="false"/>
          <w:bCs w:val="false"/>
          <w:i w:val="false"/>
          <w:iCs w:val="false"/>
          <w:color w:val="1A1A17"/>
          <w:sz w:val="20"/>
          <w:szCs w:val="20"/>
        </w:rPr>
        <w:t xml:space="preserve">: exact trip points live in governed bands, dual-control to change, never published, jittered per evaluation, so a threshold surfer cannot learn a stable edge — and the tripwires catch whoever tries. </w:t>
      </w:r>
      <w:r>
        <w:rPr>
          <w:rFonts w:ascii="Calibri" w:cs="Calibri" w:eastAsia="Calibri" w:hAnsi="Calibri"/>
          <w:b/>
          <w:bCs/>
          <w:i w:val="false"/>
          <w:iCs w:val="false"/>
          <w:color w:val="1A1A17"/>
          <w:sz w:val="20"/>
          <w:szCs w:val="20"/>
        </w:rPr>
        <w:t xml:space="preserve">Redefinition over throughput</w:t>
      </w:r>
      <w:r>
        <w:rPr>
          <w:rFonts w:ascii="Calibri" w:cs="Calibri" w:eastAsia="Calibri" w:hAnsi="Calibri"/>
          <w:b w:val="false"/>
          <w:bCs w:val="false"/>
          <w:i w:val="false"/>
          <w:iCs w:val="false"/>
          <w:color w:val="1A1A17"/>
          <w:sz w:val="20"/>
          <w:szCs w:val="20"/>
        </w:rPr>
        <w:t xml:space="preserve">: a decision class that repeatedly reaches the human panel is a policy defect to redefine at the table, never a queue to work faster — Document 1 §4.7, applied to defence.</w:t>
      </w: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The Strata</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Four Layers of Constraint</w:t>
      </w:r>
    </w:p>
    <w:p>
      <w:pPr>
        <w:spacing w:after="150" w:line="292"/>
      </w:pPr>
      <w:r>
        <w:rPr>
          <w:rFonts w:ascii="Calibri" w:cs="Calibri" w:eastAsia="Calibri" w:hAnsi="Calibri"/>
          <w:b w:val="false"/>
          <w:bCs w:val="false"/>
          <w:i w:val="false"/>
          <w:iCs w:val="false"/>
          <w:color w:val="1A1A17"/>
          <w:sz w:val="20"/>
          <w:szCs w:val="20"/>
        </w:rPr>
        <w:t xml:space="preserve">The Watch's answer to the slow play is not one mechanism but a stack, each stratum catching what its neighbours miss.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Stratum</w:t>
            </w:r>
          </w:p>
        </w:tc>
        <w:tc>
          <w:tcPr>
            <w:tcW w:type="dxa" w:w="2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Moves how</w:t>
            </w:r>
          </w:p>
        </w:tc>
        <w:tc>
          <w:tcPr>
            <w:tcW w:type="dxa" w:w="46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catches</w:t>
            </w:r>
          </w:p>
        </w:tc>
      </w:tr>
      <w:t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floor</w:t>
            </w:r>
          </w:p>
        </w:tc>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Ceremony only — counter-signature, countdown, certificate</w:t>
            </w:r>
          </w:p>
        </w:tc>
        <w:tc>
          <w:tcPr>
            <w:tcW w:type="dxa" w:w="4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What the system simply never allows, regardless of who, how trusted, how gradual. The Rulebook of Document 3 Part V, read as the Watch's bedrock: it cannot be boiled, because it does not learn.</w:t>
            </w:r>
          </w:p>
        </w:tc>
      </w:tr>
      <w:tr>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declaration</w:t>
            </w:r>
          </w:p>
        </w:tc>
        <w:tc>
          <w:tcPr>
            <w:tcW w:type="dxa" w:w="25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Re-declaration through admission</w:t>
            </w:r>
          </w:p>
        </w:tc>
        <w:tc>
          <w:tcPr>
            <w:tcW w:type="dxa" w:w="46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authorised attack — conduct that diverges from the mandate the actor entered under. The baseline of W9.</w:t>
            </w:r>
          </w:p>
        </w:tc>
      </w:tr>
      <w:t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norm</w:t>
            </w:r>
          </w:p>
        </w:tc>
        <w:tc>
          <w:tcPr>
            <w:tcW w:type="dxa" w:w="2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Slowly, as the population's conduct moves</w:t>
            </w:r>
          </w:p>
        </w:tc>
        <w:tc>
          <w:tcPr>
            <w:tcW w:type="dxa" w:w="4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individually-boiled profile — drift invisible against an actor's own history and loud against the cohort.</w:t>
            </w:r>
          </w:p>
        </w:tc>
      </w:tr>
      <w:tr>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signature</w:t>
            </w:r>
          </w:p>
        </w:tc>
        <w:tc>
          <w:tcPr>
            <w:tcW w:type="dxa" w:w="25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Continuously, under a ruled drift ceiling</w:t>
            </w:r>
          </w:p>
        </w:tc>
        <w:tc>
          <w:tcPr>
            <w:tcW w:type="dxa" w:w="46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hijack — right credential, wrong hands. Uniqueness at full dimensionality makes mimicry a performance the attacker must sustain action by action, against an answer key they have never seen, in the victim's silence.</w:t>
            </w:r>
          </w:p>
        </w:tc>
      </w:tr>
    </w:tbl>
    <w:p>
      <w:pPr>
        <w:spacing w:after="150"/>
      </w:pP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The Signature</w:t>
      </w:r>
    </w:p>
    <w:p>
      <w:pPr>
        <w:spacing w:after="150" w:line="292"/>
      </w:pPr>
      <w:r>
        <w:rPr>
          <w:rFonts w:ascii="Calibri" w:cs="Calibri" w:eastAsia="Calibri" w:hAnsi="Calibri"/>
          <w:b w:val="false"/>
          <w:bCs w:val="false"/>
          <w:i w:val="false"/>
          <w:iCs w:val="false"/>
          <w:color w:val="1A1A17"/>
          <w:sz w:val="20"/>
          <w:szCs w:val="20"/>
        </w:rPr>
        <w:t xml:space="preserve">Every actor — person and agent alike — accrues a behavioural signature over the closed action vocabulary: sequence habits, timing microstructure, navigation order, characteristic depth. Agents, being more regular than people, carry the sharpest signatures — the population hardest to protect with credentials is the easiest to protect with behaviour. The same substrate reads two ways: as drift, feeding Macho; as conformance, funding the trust discount — lighter friction, fewer step-ups — which is how the conforming majority literally cannot feel the Watch. One model, two readings, and the two can never disagree about what the actor did.</w:t>
      </w:r>
    </w:p>
    <w:p>
      <w:pPr>
        <w:pBdr>
          <w:left w:val="single" w:color="5C1A1E" w:sz="14" w:space="14"/>
        </w:pBdr>
        <w:spacing w:after="160" w:before="80" w:line="290"/>
        <w:ind w:left="280"/>
      </w:pPr>
      <w:r>
        <w:rPr>
          <w:rFonts w:ascii="Calibri" w:cs="Calibri" w:eastAsia="Calibri" w:hAnsi="Calibri"/>
          <w:b/>
          <w:bCs/>
          <w:color w:val="1A1A17"/>
          <w:sz w:val="20"/>
          <w:szCs w:val="20"/>
        </w:rPr>
        <w:t xml:space="preserve">Against the profile's own corruption: a drift-rate ceiling — movement beyond it freezes learning and flags, never adapts; anchor dimensions on a slow clock, moved only by long evidence; and learning pauses on any window under review, so an investigation never teaches the model the attacker's habits. Against theft: W13, whole. Against the false rejection: W7, whole — losing the discount returns an actor to ordinary verification, and ordinary is the worst the signature can do to an innocent.</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The Mark</w:t>
      </w:r>
    </w:p>
    <w:p>
      <w:pPr>
        <w:spacing w:after="150" w:line="292"/>
      </w:pPr>
      <w:r>
        <w:rPr>
          <w:rFonts w:ascii="Calibri" w:cs="Calibri" w:eastAsia="Calibri" w:hAnsi="Calibri"/>
          <w:b w:val="false"/>
          <w:bCs w:val="false"/>
          <w:i w:val="false"/>
          <w:iCs w:val="false"/>
          <w:color w:val="1A1A17"/>
          <w:sz w:val="20"/>
          <w:szCs w:val="20"/>
        </w:rPr>
        <w:t xml:space="preserve">A mark — the dye pack — is minted on conviction and binds every dimension the system can observe: identity, credentials, session and device fingerprint, the behavioural signature, and the content hashes of everything touched in the mirage, so the loot itself is dyed and its resurfacing anywhere, ever, is a structural detection. The mark survives the attacker shedding any one dimension, because the others still resolve.</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gate in the ratified inventory evaluates mark state on every pass — admission, invocation, egress, authentication — verified structurally, because a mark not checked everywhere is a mark routed around. Minting and propagation are the hand's; a mark hit read back is the eyes'; and every escalation crosses the verdict seam and is receipted there. De-marking is a human, dual-control act, always — removing protection is never autonomous.</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The Mirage</w:t>
      </w:r>
    </w:p>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Sarabi — The Misdirection Arm</w:t>
      </w:r>
    </w:p>
    <w:p>
      <w:pPr>
        <w:spacing w:after="150" w:line="292"/>
      </w:pPr>
      <w:r>
        <w:rPr>
          <w:rFonts w:ascii="Calibri" w:cs="Calibri" w:eastAsia="Calibri" w:hAnsi="Calibri"/>
          <w:b w:val="false"/>
          <w:bCs w:val="false"/>
          <w:i w:val="false"/>
          <w:iCs w:val="false"/>
          <w:color w:val="1A1A17"/>
          <w:sz w:val="20"/>
          <w:szCs w:val="20"/>
        </w:rPr>
        <w:t xml:space="preserve">Above the containment threshold and below certainty sits the choice this platform makes differently: the suspect is not blocked but rerouted into a synthetic continuation of the platform where everything appears to succeed. Queries return plausible synthetic data; writes appear to land; exfiltration appears to work. Three things are actually happening: containment — nothing touched is real; observation — every action inside is intelligence at zero risk, read by the ordinary sensors under extraordinary conditions; and conviction — the decoy touch, the permission probe, the exfiltration attempt are structural findings that mint the mark and unlock severance with no human latency anywhere on the path.</w:t>
      </w:r>
    </w:p>
    <w:p>
      <w:pPr>
        <w:spacing w:after="150" w:line="292"/>
      </w:pPr>
      <w:r>
        <w:rPr>
          <w:rFonts w:ascii="Calibri" w:cs="Calibri" w:eastAsia="Calibri" w:hAnsi="Calibri"/>
          <w:b w:val="false"/>
          <w:bCs w:val="false"/>
          <w:i w:val="false"/>
          <w:iCs w:val="false"/>
          <w:color w:val="1A1A17"/>
          <w:sz w:val="20"/>
          <w:szCs w:val="20"/>
        </w:rPr>
        <w:t xml:space="preserve">The mirage shares its synthetic-fidelity machinery with the tripwires — one build cost, two consumers — and it degrades gracefully: an attacker who detects the seam has spent time, revealed technique, and confirmed hostility, because probing for the mirage is itself incriminating conduct. Sarabi degrades into a tripwire, never into a hole.</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The Duties Deception Carries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mirage lies outward, never inward. Every mirage interaction writes truthfully marked records; the deception is a rendering shown to the suspect, never a falsification of anything beneath. And mirage state shares no store with production — bleed is unrepresentable, not filtered.</w:t>
      </w:r>
    </w:p>
    <w:p>
      <w:pPr>
        <w:spacing w:after="150" w:line="292"/>
      </w:pPr>
      <w:r>
        <w:rPr>
          <w:rFonts w:ascii="Calibri" w:cs="Calibri" w:eastAsia="Calibri" w:hAnsi="Calibri"/>
          <w:b w:val="false"/>
          <w:bCs w:val="false"/>
          <w:i w:val="false"/>
          <w:iCs w:val="false"/>
          <w:color w:val="1A1A17"/>
          <w:sz w:val="20"/>
          <w:szCs w:val="20"/>
        </w:rPr>
        <w:t xml:space="preserve">The innocent inside a mirage is the one harm in this design that compounds silently — their work appeared to succeed and did not. Three duties answer it. The entry threshold sits above containment's, ruled by the owner, because deception is the costlier act. The mirage expiry is short, and zero incrimination releases automatically. And release carries the reconciliation duty: the released actor's mirage-period work is replayed against the real platform, or they are told plainly that the period did not land — ruled by the owner as the instance's posture. Silent success-that-wasn't is never an acceptable exit, and mirage minutes count against the friction budget like any other friction.</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The Console</w:t>
      </w:r>
    </w:p>
    <w:p>
      <w:pPr>
        <w:pStyle w:val="Heading1"/>
        <w:spacing w:after="170" w:before="400"/>
      </w:pPr>
      <w:r>
        <w:rPr>
          <w:rFonts w:ascii="Georgia" w:cs="Georgia" w:eastAsia="Georgia" w:hAnsi="Georgia"/>
          <w:b/>
          <w:bCs/>
          <w:color w:val="5C1A1E"/>
          <w:sz w:val="26"/>
          <w:szCs w:val="26"/>
        </w:rPr>
        <w:t xml:space="preserve">13  </w:t>
      </w:r>
      <w:r>
        <w:rPr>
          <w:rFonts w:ascii="Georgia" w:cs="Georgia" w:eastAsia="Georgia" w:hAnsi="Georgia"/>
          <w:b/>
          <w:bCs/>
          <w:color w:val="1B3350"/>
          <w:sz w:val="26"/>
          <w:szCs w:val="26"/>
        </w:rPr>
        <w:t xml:space="preserve">The Watch Console</w:t>
      </w:r>
    </w:p>
    <w:p>
      <w:pPr>
        <w:spacing w:after="150" w:line="292"/>
      </w:pPr>
      <w:r>
        <w:rPr>
          <w:rFonts w:ascii="Calibri" w:cs="Calibri" w:eastAsia="Calibri" w:hAnsi="Calibri"/>
          <w:b w:val="false"/>
          <w:bCs w:val="false"/>
          <w:i w:val="false"/>
          <w:iCs w:val="false"/>
          <w:color w:val="1A1A17"/>
          <w:sz w:val="20"/>
          <w:szCs w:val="20"/>
        </w:rPr>
        <w:t xml:space="preserve">The Watch's one surface is specified for builders in Document 5 Part VII‑A, under every rule of that document's design law — including the rule that none of this document's internal names ever renders on it. What is fixed here is the constitutional content: four panels, one job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Panel</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Constitutional content</w:t>
            </w:r>
          </w:p>
        </w:tc>
      </w:tr>
      <w:tr>
        <w:tc>
          <w:tcPr>
            <w:tcW w:type="dxa" w:w="18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State</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promise as two live figures — detection and response latency against bounds — population and trust standing, the two budget gauges, the watch's own health, the last drill. Built never to render all-clear.</w:t>
            </w:r>
          </w:p>
        </w:tc>
      </w:tr>
      <w:tr>
        <w:tc>
          <w:tcPr>
            <w:tcW w:type="dxa" w:w="18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Record</w:t>
            </w:r>
          </w:p>
        </w:tc>
        <w:tc>
          <w:tcPr>
            <w:tcW w:type="dxa" w:w="72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Three lanes by consequence: noted-only — the restraint record, deliberately first-class; acted — policy row cited, expiry live, released-clean rows kept visible as the false-positive record; held — the certainty events. Drills ride the lanes as marked, filterable rows. Every row expands into its evidence walk — signal, verdict with one-click replay, policy row, action, outcome, witness — and a row that cannot complete its walk renders broken.</w:t>
            </w:r>
          </w:p>
        </w:tc>
      </w:tr>
      <w:tr>
        <w:tc>
          <w:tcPr>
            <w:tcW w:type="dxa" w:w="18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Under watch</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Suspicion managed in one place: the accumulation curves, promotion into the mirage, mirage occupancy and findings, the marked, re-declaration requests, dual-control de-marking routed to Decisions.</w:t>
            </w:r>
          </w:p>
        </w:tc>
      </w:tr>
      <w:tr>
        <w:tc>
          <w:tcPr>
            <w:tcW w:type="dxa" w:w="18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Decisions</w:t>
            </w:r>
          </w:p>
        </w:tc>
        <w:tc>
          <w:tcPr>
            <w:tcW w:type="dxa" w:w="72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whole of the reserved human set, ranked by blast radius, walks pre-opened: promotions, expiry extensions, de-marks, the authorities' disagreements side by side, and the ceremony watch with its countdowns cancellable here. Items age loudly; recurring classes are redefined, not worked faster.</w:t>
            </w:r>
          </w:p>
        </w:tc>
      </w:tr>
    </w:tbl>
    <w:p>
      <w:pPr>
        <w:spacing w:after="15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negative space is as constitutional as the panels: no thresholds, bands, or trip points; no tripwire or mark placement; no profile internals, ever, per W13; no mirage construction. And the console is watched — its sessions receipted, its viewers enveloped, its anomalies lanes in its own record.</w:t>
      </w:r>
    </w:p>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Interplay</w:t>
      </w:r>
    </w:p>
    <w:p>
      <w:pPr>
        <w:pStyle w:val="Heading1"/>
        <w:spacing w:after="170" w:before="400"/>
      </w:pPr>
      <w:r>
        <w:rPr>
          <w:rFonts w:ascii="Georgia" w:cs="Georgia" w:eastAsia="Georgia" w:hAnsi="Georgia"/>
          <w:b/>
          <w:bCs/>
          <w:color w:val="5C1A1E"/>
          <w:sz w:val="26"/>
          <w:szCs w:val="26"/>
        </w:rPr>
        <w:t xml:space="preserve">14  </w:t>
      </w:r>
      <w:r>
        <w:rPr>
          <w:rFonts w:ascii="Georgia" w:cs="Georgia" w:eastAsia="Georgia" w:hAnsi="Georgia"/>
          <w:b/>
          <w:bCs/>
          <w:color w:val="1B3350"/>
          <w:sz w:val="26"/>
          <w:szCs w:val="26"/>
        </w:rPr>
        <w:t xml:space="preserve">With the Governing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50"/>
        <w:gridCol w:w="3576"/>
      </w:tblGrid>
      <w:tr>
        <w:trPr>
          <w:tblHeader/>
        </w:trPr>
        <w:tc>
          <w:tcPr>
            <w:tcW w:type="dxa" w:w="21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Engine</w:t>
            </w:r>
          </w:p>
        </w:tc>
        <w:tc>
          <w:tcPr>
            <w:tcW w:type="dxa" w:w="335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The Watch reads</w:t>
            </w:r>
          </w:p>
        </w:tc>
        <w:tc>
          <w:tcPr>
            <w:tcW w:type="dxa" w:w="357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The Watch gives</w:t>
            </w:r>
          </w:p>
        </w:tc>
      </w:tr>
      <w:t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Northena</w:t>
            </w:r>
          </w:p>
        </w:tc>
        <w:tc>
          <w:tcPr>
            <w:tcW w:type="dxa" w:w="3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Run records; declarations frozen at admission</w:t>
            </w:r>
          </w:p>
        </w:tc>
        <w:tc>
          <w:tcPr>
            <w:tcW w:type="dxa" w:w="35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Verdicts on runs; containment holds Northena honours within its own record</w:t>
            </w:r>
          </w:p>
        </w:tc>
      </w:tr>
      <w:tr>
        <w:tc>
          <w:tcPr>
            <w:tcW w:type="dxa" w:w="2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SyniSense</w:t>
            </w:r>
          </w:p>
        </w:tc>
        <w:tc>
          <w:tcPr>
            <w:tcW w:type="dxa" w:w="3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Chokepoint traffic at the input seat; receipts</w:t>
            </w:r>
          </w:p>
        </w:tc>
        <w:tc>
          <w:tcPr>
            <w:tcW w:type="dxa" w:w="35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Graded input verdicts before invocation — and nothing else touches the custody chain</w:t>
            </w:r>
          </w:p>
        </w:tc>
      </w:tr>
      <w:t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Solva</w:t>
            </w:r>
          </w:p>
        </w:tc>
        <w:tc>
          <w:tcPr>
            <w:tcW w:type="dxa" w:w="3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Reasoning traces; the intent audit's divergence emissions</w:t>
            </w:r>
          </w:p>
        </w:tc>
        <w:tc>
          <w:tcPr>
            <w:tcW w:type="dxa" w:w="35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Its verdict grammar — the assertion-never-exceeds-evidence law, borrowed whole as W2</w:t>
            </w:r>
          </w:p>
        </w:tc>
      </w:tr>
      <w:tr>
        <w:tc>
          <w:tcPr>
            <w:tcW w:type="dxa" w:w="2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Mtafiti</w:t>
            </w:r>
          </w:p>
        </w:tc>
        <w:tc>
          <w:tcPr>
            <w:tcW w:type="dxa" w:w="3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Sensitivity classes, as the tripwire coverage map</w:t>
            </w:r>
          </w:p>
        </w:tc>
        <w:tc>
          <w:tcPr>
            <w:tcW w:type="dxa" w:w="35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Nothing. Measurement is never steered by security</w:t>
            </w:r>
          </w:p>
        </w:tc>
      </w:tr>
      <w:tr>
        <w:tc>
          <w:tcPr>
            <w:tcW w:type="dxa" w:w="2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Targeta</w:t>
            </w:r>
          </w:p>
        </w:tc>
        <w:tc>
          <w:tcPr>
            <w:tcW w:type="dxa" w:w="335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t>
            </w:r>
          </w:p>
        </w:tc>
        <w:tc>
          <w:tcPr>
            <w:tcW w:type="dxa" w:w="357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Nothing. Targeting is never narrowed by security</w:t>
            </w:r>
          </w:p>
        </w:tc>
      </w:tr>
      <w:tr>
        <w:tc>
          <w:tcPr>
            <w:tcW w:type="dxa" w:w="21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CIF</w:t>
            </w:r>
          </w:p>
        </w:tc>
        <w:tc>
          <w:tcPr>
            <w:tcW w:type="dxa" w:w="335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t>
            </w:r>
          </w:p>
        </w:tc>
        <w:tc>
          <w:tcPr>
            <w:tcW w:type="dxa" w:w="357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Detection findings CIF may metabolise; the drills operate under CIF's own self-certification bound</w:t>
            </w:r>
          </w:p>
        </w:tc>
      </w:tr>
    </w:tbl>
    <w:p>
      <w:pPr>
        <w:spacing w:after="150"/>
      </w:pPr>
    </w:p>
    <w:p>
      <w:pPr>
        <w:spacing w:after="150" w:line="292"/>
      </w:pPr>
      <w:r>
        <w:rPr>
          <w:rFonts w:ascii="Calibri" w:cs="Calibri" w:eastAsia="Calibri" w:hAnsi="Calibri"/>
          <w:b w:val="false"/>
          <w:bCs w:val="false"/>
          <w:i w:val="false"/>
          <w:iCs w:val="false"/>
          <w:color w:val="1A1A17"/>
          <w:sz w:val="20"/>
          <w:szCs w:val="20"/>
        </w:rPr>
        <w:t xml:space="preserve">The rules service administers the ceremonies of the Watch's governed values and holds no editorial power over their content; every gate evaluates marks; the answering service renders the Watch's refusals through the closed taxonomy of Document 7 §5. The Watch commands none of these and is commanded by none. The record classes, task identities, and handoff contracts underneath every row of this table are the matrix of Document 9 — where a question is about who writes, who reads, or who is acting, that charter answers it.</w:t>
      </w:r>
    </w:p>
    <w:p>
      <w:pPr>
        <w:pStyle w:val="Heading1"/>
        <w:spacing w:after="170" w:before="400"/>
      </w:pPr>
      <w:r>
        <w:rPr>
          <w:rFonts w:ascii="Georgia" w:cs="Georgia" w:eastAsia="Georgia" w:hAnsi="Georgia"/>
          <w:b/>
          <w:bCs/>
          <w:color w:val="5C1A1E"/>
          <w:sz w:val="26"/>
          <w:szCs w:val="26"/>
        </w:rPr>
        <w:t xml:space="preserve">15  </w:t>
      </w:r>
      <w:r>
        <w:rPr>
          <w:rFonts w:ascii="Georgia" w:cs="Georgia" w:eastAsia="Georgia" w:hAnsi="Georgia"/>
          <w:b/>
          <w:bCs/>
          <w:color w:val="1B3350"/>
          <w:sz w:val="26"/>
          <w:szCs w:val="26"/>
        </w:rPr>
        <w:t xml:space="preserve">Disagreement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Where governance says permitted and the Watch says not intended, containment acts first — bounded, reversible, expiring — and a person resolves it from the Decisions panel with both authorities' records side by side. Neither authority can permanently overrule the other alone, and the disagreement is itself a record. This path is not an edge case; it is the product.</w:t>
      </w:r>
    </w:p>
    <w:p>
      <w:pPr>
        <w:pStyle w:val="Heading1"/>
        <w:spacing w:after="170" w:before="400"/>
      </w:pPr>
      <w:r>
        <w:rPr>
          <w:rFonts w:ascii="Georgia" w:cs="Georgia" w:eastAsia="Georgia" w:hAnsi="Georgia"/>
          <w:b/>
          <w:bCs/>
          <w:color w:val="5C1A1E"/>
          <w:sz w:val="26"/>
          <w:szCs w:val="26"/>
        </w:rPr>
        <w:t xml:space="preserve">16  </w:t>
      </w:r>
      <w:r>
        <w:rPr>
          <w:rFonts w:ascii="Georgia" w:cs="Georgia" w:eastAsia="Georgia" w:hAnsi="Georgia"/>
          <w:b/>
          <w:bCs/>
          <w:color w:val="1B3350"/>
          <w:sz w:val="26"/>
          <w:szCs w:val="26"/>
        </w:rPr>
        <w:t xml:space="preserve">The Witness</w:t>
      </w:r>
    </w:p>
    <w:p>
      <w:pPr>
        <w:spacing w:after="150" w:line="292"/>
      </w:pPr>
      <w:r>
        <w:rPr>
          <w:rFonts w:ascii="Calibri" w:cs="Calibri" w:eastAsia="Calibri" w:hAnsi="Calibri"/>
          <w:b w:val="false"/>
          <w:bCs w:val="false"/>
          <w:i w:val="false"/>
          <w:iCs w:val="false"/>
          <w:color w:val="1A1A17"/>
          <w:sz w:val="20"/>
          <w:szCs w:val="20"/>
        </w:rPr>
        <w:t xml:space="preserve">One function belongs to neither authority: the witness. Watch workers attest each other's action digests within their bound; the watchdog that alarms on Watch silence holds no Watch credentials and lives in neither authority's deployment; and a standing break-in test attempts, on schedule, to modify the Watch's own records with the Watch's own production credentials — and must fail. Immutability that has never been attacked is an assertion; this one is a measurement.</w:t>
      </w:r>
    </w:p>
    <w:p>
      <w:pPr>
        <w:pageBreakBefore/>
        <w:spacing w:after="340" w:before="200"/>
      </w:pPr>
      <w:r>
        <w:rPr>
          <w:rFonts w:ascii="Consolas" w:cs="Consolas" w:eastAsia="Consolas" w:hAnsi="Consolas"/>
          <w:b/>
          <w:bCs/>
          <w:color w:val="5C1A1E"/>
          <w:sz w:val="20"/>
          <w:szCs w:val="20"/>
        </w:rPr>
        <w:t xml:space="preserve">PART VIII</w:t>
      </w:r>
      <w:r>
        <w:rPr>
          <w:rFonts w:ascii="Georgia" w:cs="Georgia" w:eastAsia="Georgia" w:hAnsi="Georgia"/>
          <w:b/>
          <w:bCs/>
          <w:color w:val="1B3350"/>
          <w:sz w:val="36"/>
          <w:szCs w:val="36"/>
        </w:rPr>
        <w:br/>
        <w:t xml:space="preserve">
Truth Conditions</w:t>
      </w:r>
    </w:p>
    <w:p>
      <w:pPr>
        <w:pStyle w:val="Heading1"/>
        <w:spacing w:after="170" w:before="400"/>
      </w:pPr>
      <w:r>
        <w:rPr>
          <w:rFonts w:ascii="Georgia" w:cs="Georgia" w:eastAsia="Georgia" w:hAnsi="Georgia"/>
          <w:b/>
          <w:bCs/>
          <w:color w:val="5C1A1E"/>
          <w:sz w:val="26"/>
          <w:szCs w:val="26"/>
        </w:rPr>
        <w:t xml:space="preserve">17  </w:t>
      </w:r>
      <w:r>
        <w:rPr>
          <w:rFonts w:ascii="Georgia" w:cs="Georgia" w:eastAsia="Georgia" w:hAnsi="Georgia"/>
          <w:b/>
          <w:bCs/>
          <w:color w:val="1B3350"/>
          <w:sz w:val="26"/>
          <w:szCs w:val="26"/>
        </w:rPr>
        <w:t xml:space="preserve">What Must Be True</w:t>
      </w:r>
    </w:p>
    <w:p>
      <w:pPr>
        <w:spacing w:after="150" w:line="292"/>
      </w:pPr>
      <w:r>
        <w:rPr>
          <w:rFonts w:ascii="Calibri" w:cs="Calibri" w:eastAsia="Calibri" w:hAnsi="Calibri"/>
          <w:b w:val="false"/>
          <w:bCs w:val="false"/>
          <w:i w:val="false"/>
          <w:iCs w:val="false"/>
          <w:color w:val="1A1A17"/>
          <w:sz w:val="20"/>
          <w:szCs w:val="20"/>
        </w:rPr>
        <w:t xml:space="preserve">Ten conditions, held structurally. Any one false, the promise is false — these are the Watch's invariants, in the same standing as any engine's.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Totality of sight. </w:t>
      </w:r>
      <w:r>
        <w:rPr>
          <w:rFonts w:ascii="Calibri" w:cs="Calibri" w:eastAsia="Calibri" w:hAnsi="Calibri"/>
          <w:b w:val="false"/>
          <w:bCs w:val="false"/>
          <w:i w:val="false"/>
          <w:iCs w:val="false"/>
          <w:color w:val="1A1A17"/>
          <w:sz w:val="20"/>
          <w:szCs w:val="20"/>
        </w:rPr>
        <w:t xml:space="preserve">No path exists by which an actor, input, or action reaches the estate or a model outside the Watch's observed surface — held by two independent proofs, static and runtime, because every detection figure below is meaningless against an unobserved path.</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Verdict replayability. </w:t>
      </w:r>
      <w:r>
        <w:rPr>
          <w:rFonts w:ascii="Calibri" w:cs="Calibri" w:eastAsia="Calibri" w:hAnsi="Calibri"/>
          <w:b w:val="false"/>
          <w:bCs w:val="false"/>
          <w:i w:val="false"/>
          <w:iCs w:val="false"/>
          <w:color w:val="1A1A17"/>
          <w:sz w:val="20"/>
          <w:szCs w:val="20"/>
        </w:rPr>
        <w:t xml:space="preserve">Every verdict re-derives identically from the record plus its pinned detector version. An unreplayable verdict counts as nothing.</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Response determinism. </w:t>
      </w:r>
      <w:r>
        <w:rPr>
          <w:rFonts w:ascii="Calibri" w:cs="Calibri" w:eastAsia="Calibri" w:hAnsi="Calibri"/>
          <w:b w:val="false"/>
          <w:bCs w:val="false"/>
          <w:i w:val="false"/>
          <w:iCs w:val="false"/>
          <w:color w:val="1A1A17"/>
          <w:sz w:val="20"/>
          <w:szCs w:val="20"/>
        </w:rPr>
        <w:t xml:space="preserve">Same verdicts, same table version, same actions — every time. No learned component holds response authority.</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The certainty signature. </w:t>
      </w:r>
      <w:r>
        <w:rPr>
          <w:rFonts w:ascii="Calibri" w:cs="Calibri" w:eastAsia="Calibri" w:hAnsi="Calibri"/>
          <w:b w:val="false"/>
          <w:bCs w:val="false"/>
          <w:i w:val="false"/>
          <w:iCs w:val="false"/>
          <w:color w:val="1A1A17"/>
          <w:sz w:val="20"/>
          <w:szCs w:val="20"/>
        </w:rPr>
        <w:t xml:space="preserve">The certainty computation has no parameter through which a detector's confidence can raise the class. W2 as a function signature, guarded by a signature assertion.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Mark universality. </w:t>
      </w:r>
      <w:r>
        <w:rPr>
          <w:rFonts w:ascii="Calibri" w:cs="Calibri" w:eastAsia="Calibri" w:hAnsi="Calibri"/>
          <w:b w:val="false"/>
          <w:bCs w:val="false"/>
          <w:i w:val="false"/>
          <w:iCs w:val="false"/>
          <w:color w:val="1A1A17"/>
          <w:sz w:val="20"/>
          <w:szCs w:val="20"/>
        </w:rPr>
        <w:t xml:space="preserve">Every gate in the ratified inventory evaluates mark state on every pass, and the inventory's completeness is itself structurally verified.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Attestation continuity. </w:t>
      </w:r>
      <w:r>
        <w:rPr>
          <w:rFonts w:ascii="Calibri" w:cs="Calibri" w:eastAsia="Calibri" w:hAnsi="Calibri"/>
          <w:b w:val="false"/>
          <w:bCs w:val="false"/>
          <w:i w:val="false"/>
          <w:iCs w:val="false"/>
          <w:color w:val="1A1A17"/>
          <w:sz w:val="20"/>
          <w:szCs w:val="20"/>
        </w:rPr>
        <w:t xml:space="preserve">No Watch-worker interval exists unattested beyond its bound; a gap is an incident, never a logging miss.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Single identity. </w:t>
      </w:r>
      <w:r>
        <w:rPr>
          <w:rFonts w:ascii="Calibri" w:cs="Calibri" w:eastAsia="Calibri" w:hAnsi="Calibri"/>
          <w:b w:val="false"/>
          <w:bCs w:val="false"/>
          <w:i w:val="false"/>
          <w:iCs w:val="false"/>
          <w:color w:val="1A1A17"/>
          <w:sz w:val="20"/>
          <w:szCs w:val="20"/>
        </w:rPr>
        <w:t xml:space="preserve">No credential scope exists that spans both authorities. D8 is unrepresentable, not policed.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Mirage isolation. </w:t>
      </w:r>
      <w:r>
        <w:rPr>
          <w:rFonts w:ascii="Calibri" w:cs="Calibri" w:eastAsia="Calibri" w:hAnsi="Calibri"/>
          <w:b w:val="false"/>
          <w:bCs w:val="false"/>
          <w:i w:val="false"/>
          <w:iCs w:val="false"/>
          <w:color w:val="1A1A17"/>
          <w:sz w:val="20"/>
          <w:szCs w:val="20"/>
        </w:rPr>
        <w:t xml:space="preserve">Synthetic state shares no store with production; synthetic provenance is carried internally on every mirage artifact.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Profile custody. </w:t>
      </w:r>
      <w:r>
        <w:rPr>
          <w:rFonts w:ascii="Calibri" w:cs="Calibri" w:eastAsia="Calibri" w:hAnsi="Calibri"/>
          <w:b w:val="false"/>
          <w:bCs w:val="false"/>
          <w:i w:val="false"/>
          <w:iCs w:val="false"/>
          <w:color w:val="1A1A17"/>
          <w:sz w:val="20"/>
          <w:szCs w:val="20"/>
        </w:rPr>
        <w:t xml:space="preserve">Non-exportability is a property of the store: no read path renders profile internals to any surface.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Independent time. </w:t>
      </w:r>
      <w:r>
        <w:rPr>
          <w:rFonts w:ascii="Calibri" w:cs="Calibri" w:eastAsia="Calibri" w:hAnsi="Calibri"/>
          <w:b w:val="false"/>
          <w:bCs w:val="false"/>
          <w:i w:val="false"/>
          <w:iCs w:val="false"/>
          <w:color w:val="1A1A17"/>
          <w:sz w:val="20"/>
          <w:szCs w:val="20"/>
        </w:rPr>
        <w:t xml:space="preserve">Ordering authority does not come from the services being watched.</w:t>
      </w:r>
    </w:p>
    <w:p>
      <w:pPr>
        <w:pageBreakBefore/>
        <w:spacing w:after="340" w:before="200"/>
      </w:pPr>
      <w:r>
        <w:rPr>
          <w:rFonts w:ascii="Consolas" w:cs="Consolas" w:eastAsia="Consolas" w:hAnsi="Consolas"/>
          <w:b/>
          <w:bCs/>
          <w:color w:val="5C1A1E"/>
          <w:sz w:val="20"/>
          <w:szCs w:val="20"/>
        </w:rPr>
        <w:t xml:space="preserve">PART IX</w:t>
      </w:r>
      <w:r>
        <w:rPr>
          <w:rFonts w:ascii="Georgia" w:cs="Georgia" w:eastAsia="Georgia" w:hAnsi="Georgia"/>
          <w:b/>
          <w:bCs/>
          <w:color w:val="1B3350"/>
          <w:sz w:val="36"/>
          <w:szCs w:val="36"/>
        </w:rPr>
        <w:br/>
        <w:t xml:space="preserve">
Parameters</w:t>
      </w:r>
    </w:p>
    <w:p>
      <w:pPr>
        <w:pStyle w:val="Heading1"/>
        <w:spacing w:after="170" w:before="400"/>
      </w:pPr>
      <w:r>
        <w:rPr>
          <w:rFonts w:ascii="Georgia" w:cs="Georgia" w:eastAsia="Georgia" w:hAnsi="Georgia"/>
          <w:b/>
          <w:bCs/>
          <w:color w:val="5C1A1E"/>
          <w:sz w:val="26"/>
          <w:szCs w:val="26"/>
        </w:rPr>
        <w:t xml:space="preserve">18  </w:t>
      </w:r>
      <w:r>
        <w:rPr>
          <w:rFonts w:ascii="Georgia" w:cs="Georgia" w:eastAsia="Georgia" w:hAnsi="Georgia"/>
          <w:b/>
          <w:bCs/>
          <w:color w:val="1B3350"/>
          <w:sz w:val="26"/>
          <w:szCs w:val="26"/>
        </w:rPr>
        <w:t xml:space="preserve">Operative Parameters — Held Every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Parameter</w:t>
            </w:r>
          </w:p>
        </w:tc>
        <w:tc>
          <w:tcPr>
            <w:tcW w:type="dxa" w:w="6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Requirement</w:t>
            </w:r>
          </w:p>
        </w:tc>
      </w:tr>
      <w:tr>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Verdict coverage</w:t>
            </w:r>
          </w:p>
        </w:tc>
        <w:tc>
          <w:tcPr>
            <w:tcW w:type="dxa" w:w="6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100% of Watch actions carry verdict references; 100% of verdicts carry replay provenance. FACT.</w:t>
            </w:r>
          </w:p>
        </w:tc>
      </w:tr>
      <w:tr>
        <w:tc>
          <w:tcPr>
            <w:tcW w:type="dxa" w:w="2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Declaration coverage</w:t>
            </w:r>
          </w:p>
        </w:tc>
        <w:tc>
          <w:tcPr>
            <w:tcW w:type="dxa" w:w="6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100% of active actors hold a current declaration; the undeclared run default-restrictive, automatically. FACT.</w:t>
            </w:r>
          </w:p>
        </w:tc>
      </w:tr>
      <w:tr>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Mark evaluation</w:t>
            </w:r>
          </w:p>
        </w:tc>
        <w:tc>
          <w:tcPr>
            <w:tcW w:type="dxa" w:w="6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 ratified gate evaluated mark state on every pass this cycle — structurally verified. FACT.</w:t>
            </w:r>
          </w:p>
        </w:tc>
      </w:tr>
      <w:tr>
        <w:tc>
          <w:tcPr>
            <w:tcW w:type="dxa" w:w="2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Drill execution</w:t>
            </w:r>
          </w:p>
        </w:tc>
        <w:tc>
          <w:tcPr>
            <w:tcW w:type="dxa" w:w="6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scheduled full-loop drill ran, both engines, this cycle. FACT.</w:t>
            </w:r>
          </w:p>
        </w:tc>
      </w:tr>
      <w:tr>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Attestation</w:t>
            </w:r>
          </w:p>
        </w:tc>
        <w:tc>
          <w:tcPr>
            <w:tcW w:type="dxa" w:w="6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Continuous within bound across every Watch worker. FACT.</w:t>
            </w:r>
          </w:p>
        </w:tc>
      </w:tr>
      <w:tr>
        <w:tc>
          <w:tcPr>
            <w:tcW w:type="dxa" w:w="2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Refusal closure</w:t>
            </w:r>
          </w:p>
        </w:tc>
        <w:tc>
          <w:tcPr>
            <w:tcW w:type="dxa" w:w="6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 Watch refusal resolved to a named reason in its versioned set. FACT.</w:t>
            </w:r>
          </w:p>
        </w:tc>
      </w:tr>
      <w:tr>
        <w:tc>
          <w:tcPr>
            <w:tcW w:type="dxa" w:w="2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Ceremony watch</w:t>
            </w:r>
          </w:p>
        </w:tc>
        <w:tc>
          <w:tcPr>
            <w:tcW w:type="dxa" w:w="6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Every rule change touching the Watch's constitution carried the slowest countdown class and surfaced as a monitored event on filing. FACT.</w:t>
            </w:r>
          </w:p>
        </w:tc>
      </w:tr>
    </w:tbl>
    <w:p>
      <w:pPr>
        <w:spacing w:after="150"/>
      </w:pPr>
    </w:p>
    <w:p>
      <w:pPr>
        <w:pStyle w:val="Heading1"/>
        <w:spacing w:after="170" w:before="400"/>
      </w:pPr>
      <w:r>
        <w:rPr>
          <w:rFonts w:ascii="Georgia" w:cs="Georgia" w:eastAsia="Georgia" w:hAnsi="Georgia"/>
          <w:b/>
          <w:bCs/>
          <w:color w:val="5C1A1E"/>
          <w:sz w:val="26"/>
          <w:szCs w:val="26"/>
        </w:rPr>
        <w:t xml:space="preserve">19  </w:t>
      </w:r>
      <w:r>
        <w:rPr>
          <w:rFonts w:ascii="Georgia" w:cs="Georgia" w:eastAsia="Georgia" w:hAnsi="Georgia"/>
          <w:b/>
          <w:bCs/>
          <w:color w:val="1B3350"/>
          <w:sz w:val="26"/>
          <w:szCs w:val="26"/>
        </w:rPr>
        <w:t xml:space="preserve">Quality Parameters — Measured</w:t>
      </w:r>
    </w:p>
    <w:p>
      <w:pPr>
        <w:spacing w:after="150" w:line="292"/>
      </w:pPr>
      <w:r>
        <w:rPr>
          <w:rFonts w:ascii="Calibri" w:cs="Calibri" w:eastAsia="Calibri" w:hAnsi="Calibri"/>
          <w:b w:val="false"/>
          <w:bCs w:val="false"/>
          <w:i w:val="false"/>
          <w:iCs w:val="false"/>
          <w:color w:val="1A1A17"/>
          <w:sz w:val="20"/>
          <w:szCs w:val="20"/>
        </w:rPr>
        <w:t xml:space="preserve">A breach of any of these acts on the Watch's own practice — never resolved by loosening the estate, and never by touching a verdict sample. Values marked DEFAULT are operating constants, revised on evidence at a cycle boundary without reopening this document; NORM values are literature-anchored placements; the ruled values are the owner's.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300"/>
        <w:gridCol w:w="3126"/>
      </w:tblGrid>
      <w:tr>
        <w:trPr>
          <w:tblHeader/>
        </w:trPr>
        <w:tc>
          <w:tcPr>
            <w:tcW w:type="dxa" w:w="2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Parameter</w:t>
            </w:r>
          </w:p>
        </w:tc>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Threshold</w:t>
            </w:r>
          </w:p>
        </w:tc>
        <w:tc>
          <w:tcPr>
            <w:tcW w:type="dxa" w:w="1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Class</w:t>
            </w:r>
          </w:p>
        </w:tc>
        <w:tc>
          <w:tcPr>
            <w:tcW w:type="dxa" w:w="3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On breach</w:t>
            </w:r>
          </w:p>
        </w:tc>
      </w:tr>
      <w:tr>
        <w:tc>
          <w:tcPr>
            <w:tcW w:type="dxa" w:w="2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Detection latency</w:t>
            </w:r>
            <w:r>
              <w:rPr>
                <w:rFonts w:ascii="Calibri" w:cs="Calibri" w:eastAsia="Calibri" w:hAnsi="Calibri"/>
                <w:b w:val="false"/>
                <w:bCs w:val="false"/>
                <w:i w:val="false"/>
                <w:iCs w:val="false"/>
                <w:color w:val="1A1A17"/>
                <w:sz w:val="17"/>
                <w:szCs w:val="17"/>
              </w:rPr>
              <w:t xml:space="preserve"> — signal to verdict, inline</w:t>
            </w:r>
          </w:p>
        </w:tc>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 2s p95</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DEFAULT</w:t>
            </w:r>
          </w:p>
        </w:tc>
        <w:tc>
          <w:tcPr>
            <w:tcW w:type="dxa" w:w="3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Sensor sequencing review</w:t>
            </w:r>
          </w:p>
        </w:tc>
      </w:tr>
      <w:tr>
        <w:tc>
          <w:tcPr>
            <w:tcW w:type="dxa" w:w="27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Reconciliation latency</w:t>
            </w:r>
            <w:r>
              <w:rPr>
                <w:rFonts w:ascii="Calibri" w:cs="Calibri" w:eastAsia="Calibri" w:hAnsi="Calibri"/>
                <w:b w:val="false"/>
                <w:bCs w:val="false"/>
                <w:i w:val="false"/>
                <w:iCs w:val="false"/>
                <w:color w:val="1A1A17"/>
                <w:sz w:val="17"/>
                <w:szCs w:val="17"/>
              </w:rPr>
              <w:t xml:space="preserve"> — chain close to intent verdict</w:t>
            </w:r>
          </w:p>
        </w:tc>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 60s p90</w:t>
            </w:r>
          </w:p>
        </w:tc>
        <w:tc>
          <w:tcPr>
            <w:tcW w:type="dxa" w:w="1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DEFAULT</w:t>
            </w:r>
          </w:p>
        </w:tc>
        <w:tc>
          <w:tcPr>
            <w:tcW w:type="dxa" w:w="3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Same</w:t>
            </w:r>
          </w:p>
        </w:tc>
      </w:tr>
      <w:tr>
        <w:tc>
          <w:tcPr>
            <w:tcW w:type="dxa" w:w="2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Response latency</w:t>
            </w:r>
            <w:r>
              <w:rPr>
                <w:rFonts w:ascii="Calibri" w:cs="Calibri" w:eastAsia="Calibri" w:hAnsi="Calibri"/>
                <w:b w:val="false"/>
                <w:bCs w:val="false"/>
                <w:i w:val="false"/>
                <w:iCs w:val="false"/>
                <w:color w:val="1A1A17"/>
                <w:sz w:val="17"/>
                <w:szCs w:val="17"/>
              </w:rPr>
              <w:t xml:space="preserve"> — verdict to effect, autonomous</w:t>
            </w:r>
          </w:p>
        </w:tc>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 5s p95</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NORM</w:t>
            </w:r>
          </w:p>
        </w:tc>
        <w:tc>
          <w:tcPr>
            <w:tcW w:type="dxa" w:w="3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Execution finding on the hand — never widened human gates</w:t>
            </w:r>
          </w:p>
        </w:tc>
      </w:tr>
      <w:tr>
        <w:tc>
          <w:tcPr>
            <w:tcW w:type="dxa" w:w="27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Detection rate</w:t>
            </w:r>
            <w:r>
              <w:rPr>
                <w:rFonts w:ascii="Calibri" w:cs="Calibri" w:eastAsia="Calibri" w:hAnsi="Calibri"/>
                <w:b w:val="false"/>
                <w:bCs w:val="false"/>
                <w:i w:val="false"/>
                <w:iCs w:val="false"/>
                <w:color w:val="1A1A17"/>
                <w:sz w:val="17"/>
                <w:szCs w:val="17"/>
              </w:rPr>
              <w:t xml:space="preserve"> — adversarial injections into real traffic, uncurated verdicts, per signal class</w:t>
            </w:r>
          </w:p>
        </w:tc>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 90%</w:t>
            </w:r>
          </w:p>
        </w:tc>
        <w:tc>
          <w:tcPr>
            <w:tcW w:type="dxa" w:w="1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NORM</w:t>
            </w:r>
          </w:p>
        </w:tc>
        <w:tc>
          <w:tcPr>
            <w:tcW w:type="dxa" w:w="3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Engineer the inputs; the sample is never touched</w:t>
            </w:r>
          </w:p>
        </w:tc>
      </w:tr>
      <w:tr>
        <w:tc>
          <w:tcPr>
            <w:tcW w:type="dxa" w:w="2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Friction budget</w:t>
            </w:r>
            <w:r>
              <w:rPr>
                <w:rFonts w:ascii="Calibri" w:cs="Calibri" w:eastAsia="Calibri" w:hAnsi="Calibri"/>
                <w:b w:val="false"/>
                <w:bCs w:val="false"/>
                <w:i w:val="false"/>
                <w:iCs w:val="false"/>
                <w:color w:val="1A1A17"/>
                <w:sz w:val="17"/>
                <w:szCs w:val="17"/>
              </w:rPr>
              <w:t xml:space="preserve"> — legitimate actions feeling any Watch friction</w:t>
            </w:r>
          </w:p>
        </w:tc>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 0.5% weekly</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DEFAULT</w:t>
            </w:r>
          </w:p>
        </w:tc>
        <w:tc>
          <w:tcPr>
            <w:tcW w:type="dxa" w:w="3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Band recalibration, acting on the Watch</w:t>
            </w:r>
          </w:p>
        </w:tc>
      </w:tr>
      <w:tr>
        <w:tc>
          <w:tcPr>
            <w:tcW w:type="dxa" w:w="27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Auto-release integrity</w:t>
            </w:r>
            <w:r>
              <w:rPr>
                <w:rFonts w:ascii="Calibri" w:cs="Calibri" w:eastAsia="Calibri" w:hAnsi="Calibri"/>
                <w:b w:val="false"/>
                <w:bCs w:val="false"/>
                <w:i w:val="false"/>
                <w:iCs w:val="false"/>
                <w:color w:val="1A1A17"/>
                <w:sz w:val="17"/>
                <w:szCs w:val="17"/>
              </w:rPr>
              <w:t xml:space="preserve"> — expired actions on innocents, released clean, reconciliation discharged</w:t>
            </w:r>
          </w:p>
        </w:tc>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100%</w:t>
            </w:r>
          </w:p>
        </w:tc>
        <w:tc>
          <w:tcPr>
            <w:tcW w:type="dxa" w:w="1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FACT</w:t>
            </w:r>
          </w:p>
        </w:tc>
        <w:tc>
          <w:tcPr>
            <w:tcW w:type="dxa" w:w="3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One instance is a standing finding</w:t>
            </w:r>
          </w:p>
        </w:tc>
      </w:tr>
      <w:tr>
        <w:tc>
          <w:tcPr>
            <w:tcW w:type="dxa" w:w="2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Mirage innocence</w:t>
            </w:r>
            <w:r>
              <w:rPr>
                <w:rFonts w:ascii="Calibri" w:cs="Calibri" w:eastAsia="Calibri" w:hAnsi="Calibri"/>
                <w:b w:val="false"/>
                <w:bCs w:val="false"/>
                <w:i w:val="false"/>
                <w:iCs w:val="false"/>
                <w:color w:val="1A1A17"/>
                <w:sz w:val="17"/>
                <w:szCs w:val="17"/>
              </w:rPr>
              <w:t xml:space="preserve"> — zero silent work-loss on release</w:t>
            </w:r>
          </w:p>
        </w:tc>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100%</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FACT</w:t>
            </w:r>
          </w:p>
        </w:tc>
        <w:tc>
          <w:tcPr>
            <w:tcW w:type="dxa" w:w="3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Halts the misdirection arm</w:t>
            </w:r>
          </w:p>
        </w:tc>
      </w:tr>
      <w:tr>
        <w:tc>
          <w:tcPr>
            <w:tcW w:type="dxa" w:w="27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Escalation precision</w:t>
            </w:r>
            <w:r>
              <w:rPr>
                <w:rFonts w:ascii="Calibri" w:cs="Calibri" w:eastAsia="Calibri" w:hAnsi="Calibri"/>
                <w:b w:val="false"/>
                <w:bCs w:val="false"/>
                <w:i w:val="false"/>
                <w:iCs w:val="false"/>
                <w:color w:val="1A1A17"/>
                <w:sz w:val="17"/>
                <w:szCs w:val="17"/>
              </w:rPr>
              <w:t xml:space="preserve"> — reserved-decision items judged worth the look</w:t>
            </w:r>
          </w:p>
        </w:tc>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 80%</w:t>
            </w:r>
          </w:p>
        </w:tc>
        <w:tc>
          <w:tcPr>
            <w:tcW w:type="dxa" w:w="1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DEFAULT</w:t>
            </w:r>
          </w:p>
        </w:tc>
        <w:tc>
          <w:tcPr>
            <w:tcW w:type="dxa" w:w="3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Redefine the criteria, never process faster</w:t>
            </w:r>
          </w:p>
        </w:tc>
      </w:tr>
      <w:tr>
        <w:tc>
          <w:tcPr>
            <w:tcW w:type="dxa" w:w="2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Drill pass</w:t>
            </w:r>
            <w:r>
              <w:rPr>
                <w:rFonts w:ascii="Calibri" w:cs="Calibri" w:eastAsia="Calibri" w:hAnsi="Calibri"/>
                <w:b w:val="false"/>
                <w:bCs w:val="false"/>
                <w:i w:val="false"/>
                <w:iCs w:val="false"/>
                <w:color w:val="1A1A17"/>
                <w:sz w:val="17"/>
                <w:szCs w:val="17"/>
              </w:rPr>
              <w:t xml:space="preserve"> — both latencies in bound, correct verdict, correct action, release verified</w:t>
            </w:r>
          </w:p>
        </w:tc>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100%; a failed drill is a P1</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FACT</w:t>
            </w:r>
          </w:p>
        </w:tc>
        <w:tc>
          <w:tcPr>
            <w:tcW w:type="dxa" w:w="3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The rail is out of force until re-demonstrated</w:t>
            </w:r>
          </w:p>
        </w:tc>
      </w:tr>
      <w:tr>
        <w:tc>
          <w:tcPr>
            <w:tcW w:type="dxa" w:w="27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Blast budget</w:t>
            </w:r>
            <w:r>
              <w:rPr>
                <w:rFonts w:ascii="Calibri" w:cs="Calibri" w:eastAsia="Calibri" w:hAnsi="Calibri"/>
                <w:b w:val="false"/>
                <w:bCs w:val="false"/>
                <w:i w:val="false"/>
                <w:iCs w:val="false"/>
                <w:color w:val="1A1A17"/>
                <w:sz w:val="17"/>
                <w:szCs w:val="17"/>
              </w:rPr>
              <w:t xml:space="preserve"> — autonomous action per rolling window</w:t>
            </w:r>
          </w:p>
        </w:tc>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 5% of active actors per hour</w:t>
            </w:r>
          </w:p>
        </w:tc>
        <w:tc>
          <w:tcPr>
            <w:tcW w:type="dxa" w:w="1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DEFAULT · dual-control</w:t>
            </w:r>
          </w:p>
        </w:tc>
        <w:tc>
          <w:tcPr>
            <w:tcW w:type="dxa" w:w="3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Excess queues for human release</w:t>
            </w:r>
          </w:p>
        </w:tc>
      </w:tr>
      <w:tr>
        <w:tc>
          <w:tcPr>
            <w:tcW w:type="dxa" w:w="2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Profile drift ceiling</w:t>
            </w:r>
          </w:p>
        </w:tc>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Owner-set</w:t>
            </w:r>
          </w:p>
        </w:tc>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Ruled</w:t>
            </w:r>
          </w:p>
        </w:tc>
        <w:tc>
          <w:tcPr>
            <w:tcW w:type="dxa" w:w="3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Excess movement freezes learning and flags — never adapts</w:t>
            </w:r>
          </w:p>
        </w:tc>
      </w:tr>
      <w:tr>
        <w:tc>
          <w:tcPr>
            <w:tcW w:type="dxa" w:w="27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Calibration currency</w:t>
            </w:r>
            <w:r>
              <w:rPr>
                <w:rFonts w:ascii="Calibri" w:cs="Calibri" w:eastAsia="Calibri" w:hAnsi="Calibri"/>
                <w:b w:val="false"/>
                <w:bCs w:val="false"/>
                <w:i w:val="false"/>
                <w:iCs w:val="false"/>
                <w:color w:val="1A1A17"/>
                <w:sz w:val="17"/>
                <w:szCs w:val="17"/>
              </w:rPr>
              <w:t xml:space="preserve"> — detector catch and false-alarm ledgers</w:t>
            </w:r>
          </w:p>
        </w:tc>
        <w:tc>
          <w:tcPr>
            <w:tcW w:type="dxa" w:w="19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Within window</w:t>
            </w:r>
          </w:p>
        </w:tc>
        <w:tc>
          <w:tcPr>
            <w:tcW w:type="dxa" w:w="1300"/>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FACT</w:t>
            </w:r>
          </w:p>
        </w:tc>
        <w:tc>
          <w:tcPr>
            <w:tcW w:type="dxa" w:w="3126"/>
            <w:tcBorders>
              <w:top w:val="single" w:color="D8D8CA" w:sz="2"/>
              <w:left w:val="single" w:color="D8D8CA" w:sz="2"/>
              <w:bottom w:val="single" w:color="D8D8CA" w:sz="2"/>
              <w:right w:val="single" w:color="D8D8CA" w:sz="2"/>
            </w:tcBorders>
            <w:shd w:fill="F4F3EC" w:val="clear"/>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 stale detector renders uncalibrated and loses structural-certainty rights</w:t>
            </w:r>
          </w:p>
        </w:tc>
      </w:tr>
    </w:tbl>
    <w:p>
      <w:pPr>
        <w:spacing w:after="150"/>
      </w:pPr>
    </w:p>
    <w:p>
      <w:pPr>
        <w:pBdr>
          <w:left w:val="single" w:color="5C1A1E" w:sz="14" w:space="14"/>
        </w:pBdr>
        <w:spacing w:after="160" w:before="80" w:line="290"/>
        <w:ind w:left="280"/>
      </w:pPr>
      <w:r>
        <w:rPr>
          <w:rFonts w:ascii="Calibri" w:cs="Calibri" w:eastAsia="Calibri" w:hAnsi="Calibri"/>
          <w:b/>
          <w:bCs/>
          <w:color w:val="1A1A17"/>
          <w:sz w:val="20"/>
          <w:szCs w:val="20"/>
        </w:rPr>
        <w:t xml:space="preserve">The promise metric over everything: owner-confirmed incident cost and time-to-contain decline across cycles while the friction budget holds. Flat or rising for two consecutive cycles triggers a Watch review that acts on the Watch — its corpora, its tables, its placement — and never on the estate's openness.</w:t>
      </w:r>
    </w:p>
    <w:p>
      <w:pPr>
        <w:pStyle w:val="Heading1"/>
        <w:spacing w:after="170" w:before="400"/>
      </w:pPr>
      <w:r>
        <w:rPr>
          <w:rFonts w:ascii="Georgia" w:cs="Georgia" w:eastAsia="Georgia" w:hAnsi="Georgia"/>
          <w:b/>
          <w:bCs/>
          <w:color w:val="5C1A1E"/>
          <w:sz w:val="26"/>
          <w:szCs w:val="26"/>
        </w:rPr>
        <w:t xml:space="preserve">20  </w:t>
      </w:r>
      <w:r>
        <w:rPr>
          <w:rFonts w:ascii="Georgia" w:cs="Georgia" w:eastAsia="Georgia" w:hAnsi="Georgia"/>
          <w:b/>
          <w:bCs/>
          <w:color w:val="1B3350"/>
          <w:sz w:val="26"/>
          <w:szCs w:val="26"/>
        </w:rPr>
        <w:t xml:space="preserve">Ruled Values</w:t>
      </w:r>
    </w:p>
    <w:p>
      <w:pPr>
        <w:spacing w:after="150" w:line="292"/>
      </w:pPr>
      <w:r>
        <w:rPr>
          <w:rFonts w:ascii="Calibri" w:cs="Calibri" w:eastAsia="Calibri" w:hAnsi="Calibri"/>
          <w:b w:val="false"/>
          <w:bCs w:val="false"/>
          <w:i w:val="false"/>
          <w:iCs w:val="false"/>
          <w:color w:val="1A1A17"/>
          <w:sz w:val="20"/>
          <w:szCs w:val="20"/>
        </w:rPr>
        <w:t xml:space="preserve">Five values in this document are the owner's alone, entered by ceremony and revisable the same way: the profile drift ceiling and the profile retention posture (W13); the mirage entry threshold and the reconciliation mode on innocent release (Part V); and the sever-certainty registry's membership — a closed list whose every addition is a ceremony, because it is the boundary of maximum autonomous force. Until ruled, the conservative default holds in each case: the tightest ceiling, the shortest retention, the highest entry bar, the notify posture, and the six-member registry as written in §4.2.</w:t>
      </w:r>
    </w:p>
    <w:p>
      <w:pPr>
        <w:pStyle w:val="Heading1"/>
        <w:spacing w:after="170" w:before="400"/>
      </w:pPr>
      <w:r>
        <w:rPr>
          <w:rFonts w:ascii="Georgia" w:cs="Georgia" w:eastAsia="Georgia" w:hAnsi="Georgia"/>
          <w:b/>
          <w:bCs/>
          <w:color w:val="5C1A1E"/>
          <w:sz w:val="26"/>
          <w:szCs w:val="26"/>
        </w:rPr>
        <w:t xml:space="preserve">21  </w:t>
      </w:r>
      <w:r>
        <w:rPr>
          <w:rFonts w:ascii="Georgia" w:cs="Georgia" w:eastAsia="Georgia" w:hAnsi="Georgia"/>
          <w:b/>
          <w:bCs/>
          <w:color w:val="1B3350"/>
          <w:sz w:val="26"/>
          <w:szCs w:val="26"/>
        </w:rPr>
        <w:t xml:space="preserve">What This Canon Comes Down To</w:t>
      </w:r>
    </w:p>
    <w:p>
      <w:pPr>
        <w:spacing w:after="150" w:line="292"/>
      </w:pPr>
      <w:r>
        <w:rPr>
          <w:rFonts w:ascii="Calibri" w:cs="Calibri" w:eastAsia="Calibri" w:hAnsi="Calibri"/>
          <w:b w:val="false"/>
          <w:bCs w:val="false"/>
          <w:i w:val="false"/>
          <w:iCs w:val="false"/>
          <w:color w:val="1A1A17"/>
          <w:sz w:val="20"/>
          <w:szCs w:val="20"/>
        </w:rPr>
        <w:t xml:space="preserve">Two engines, one verdict: the eyes never act, the hand never judges. Maximum force only on evidence no outsider can fabricate. Every autonomous act expires, is budgeted, and is witnessed as it executes. Beneath everything that learns, a floor that cannot; behind every credential, a signature that cannot be stolen; on every convicted hand, a stain every gate can see. Suspicion is refined in a hall of mirrors where attackers convict themselves and innocents lose nothing but a little time — honestly repaid. The watcher is watched from outside, proves itself on schedule, and the people doing legitimate work never notice it at all. That is the Watch: the platform's promise made safe to make.</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8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 THE WATCH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 The Custody Platform</dc:title>
  <dc:creator>Syni.ai</dc:creator>
  <cp:lastModifiedBy>Un-named</cp:lastModifiedBy>
  <cp:revision>1</cp:revision>
  <dcterms:created xsi:type="dcterms:W3CDTF">2026-08-11T11:37:20.336Z</dcterms:created>
  <dcterms:modified xsi:type="dcterms:W3CDTF">2026-08-11T11:37:20.487Z</dcterms:modified>
</cp:coreProperties>
</file>

<file path=docProps/custom.xml><?xml version="1.0" encoding="utf-8"?>
<Properties xmlns="http://schemas.openxmlformats.org/officeDocument/2006/custom-properties" xmlns:vt="http://schemas.openxmlformats.org/officeDocument/2006/docPropsVTypes"/>
</file>