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9 OF 9</w:t>
      </w:r>
    </w:p>
    <w:p>
      <w:pPr>
        <w:spacing w:after="60" w:before="120"/>
      </w:pPr>
      <w:r>
        <w:rPr>
          <w:rFonts w:ascii="Georgia" w:cs="Georgia" w:eastAsia="Georgia" w:hAnsi="Georgia"/>
          <w:b/>
          <w:bCs/>
          <w:color w:val="1B3350"/>
          <w:sz w:val="40"/>
          <w:szCs w:val="40"/>
        </w:rPr>
        <w:t xml:space="preserve">The Mkondo Charter</w:t>
      </w:r>
    </w:p>
    <w:p>
      <w:pPr>
        <w:spacing w:after="260"/>
      </w:pPr>
      <w:r>
        <w:rPr>
          <w:rFonts w:ascii="Georgia" w:cs="Georgia" w:eastAsia="Georgia" w:hAnsi="Georgia"/>
          <w:i/>
          <w:iCs/>
          <w:color w:val="4A4A44"/>
          <w:sz w:val="22"/>
          <w:szCs w:val="22"/>
        </w:rPr>
        <w:t xml:space="preserve">The orchestration charter: the record matrix, the task-identity register, and the handoff contracts — one place where who writes, who reads, and who is acting is never ambiguous</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What This Charter Is</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Purpose</w:t>
      </w:r>
    </w:p>
    <w:p>
      <w:pPr>
        <w:spacing w:after="150" w:line="292"/>
      </w:pPr>
      <w:r>
        <w:rPr>
          <w:rFonts w:ascii="Calibri" w:cs="Calibri" w:eastAsia="Calibri" w:hAnsi="Calibri"/>
          <w:b w:val="false"/>
          <w:bCs w:val="false"/>
          <w:i w:val="false"/>
          <w:iCs w:val="false"/>
          <w:color w:val="1A1A17"/>
          <w:sz w:val="20"/>
          <w:szCs w:val="20"/>
        </w:rPr>
        <w:t xml:space="preserve">Two authorities now stand on one substrate: the governing authority of Documents 2 through 4, and the Watch of Document 8. Both mint records; both read records; both staff work from shared capacity. Every ambiguity that arises between them is one of three questions — who writes this record, who may read it, and under whose identity is this task acting — and scattering the answers across five documents recreates the ambiguity this charter exists to remove. Mkondo is the orchestration service that maintains three registers and enforces them; this charter is those registers, stated once, cited by both authorities as the same document.</w:t>
      </w:r>
    </w:p>
    <w:p>
      <w:pPr>
        <w:pBdr>
          <w:left w:val="single" w:color="5C1A1E" w:sz="14" w:space="14"/>
        </w:pBdr>
        <w:spacing w:after="160" w:before="80" w:line="290"/>
        <w:ind w:left="280"/>
      </w:pPr>
      <w:r>
        <w:rPr>
          <w:rFonts w:ascii="Calibri" w:cs="Calibri" w:eastAsia="Calibri" w:hAnsi="Calibri"/>
          <w:b/>
          <w:bCs/>
          <w:color w:val="1A1A17"/>
          <w:sz w:val="20"/>
          <w:szCs w:val="20"/>
        </w:rPr>
        <w:t xml:space="preserve">Mkondo governs structure and holds no opinion about content. It admits nothing, judges nothing, detects nothing, and responds to nothing. Both authorities stand on it equally; the witness watches both across it. A question this charter answers is answered here — never by recollection, and never differently in two places.</w:t>
      </w:r>
    </w:p>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The One-Record Law, Stated Precisely</w:t>
      </w:r>
    </w:p>
    <w:p>
      <w:pPr>
        <w:spacing w:after="150" w:line="292"/>
      </w:pPr>
      <w:r>
        <w:rPr>
          <w:rFonts w:ascii="Calibri" w:cs="Calibri" w:eastAsia="Calibri" w:hAnsi="Calibri"/>
          <w:b w:val="false"/>
          <w:bCs w:val="false"/>
          <w:i w:val="false"/>
          <w:iCs w:val="false"/>
          <w:color w:val="1A1A17"/>
          <w:sz w:val="20"/>
          <w:szCs w:val="20"/>
        </w:rPr>
        <w:t xml:space="preserve">Document 1 §4.3 holds: there is exactly one record, and nothing maintains a second. What the law forbids is a second, competing account of the same events. What it requires is exactly this matrix: one authoritative account per record class, with a single writing authority and named readers. The Watch minting the first account of its own events is the law working; two accounts of anyone's events would be the law broken. X and Y read the same record; X and Z mint new classes; nobody mints a rival.</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The Record Matrix</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The Matrix</w:t>
      </w:r>
    </w:p>
    <w:p>
      <w:pPr>
        <w:spacing w:after="150" w:line="292"/>
      </w:pPr>
      <w:r>
        <w:rPr>
          <w:rFonts w:ascii="Calibri" w:cs="Calibri" w:eastAsia="Calibri" w:hAnsi="Calibri"/>
          <w:b w:val="false"/>
          <w:bCs w:val="false"/>
          <w:i w:val="false"/>
          <w:iCs w:val="false"/>
          <w:color w:val="1A1A17"/>
          <w:sz w:val="20"/>
          <w:szCs w:val="20"/>
        </w:rPr>
        <w:t xml:space="preserve">Every record class in the platform, its single writer, and its readers. A second writer to any class is a defect on sight; a reader not listed does not read; additions to this matrix are ceremony, and the matrix version in force is stamped on every audit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850"/>
        <w:gridCol w:w="2350"/>
        <w:gridCol w:w="2476"/>
      </w:tblGrid>
      <w:tr>
        <w:trPr>
          <w:tblHeader/>
        </w:trPr>
        <w:tc>
          <w:tcPr>
            <w:tcW w:type="dxa" w:w="235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Record class</w:t>
            </w:r>
          </w:p>
        </w:tc>
        <w:tc>
          <w:tcPr>
            <w:tcW w:type="dxa" w:w="185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Writes</w:t>
            </w:r>
          </w:p>
        </w:tc>
        <w:tc>
          <w:tcPr>
            <w:tcW w:type="dxa" w:w="235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Reads</w:t>
            </w:r>
          </w:p>
        </w:tc>
        <w:tc>
          <w:tcPr>
            <w:tcW w:type="dxa" w:w="247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Notes</w:t>
            </w:r>
          </w:p>
        </w:tc>
      </w:tr>
      <w:tr>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Run ledger rows</w:t>
            </w:r>
          </w:p>
        </w:tc>
        <w:tc>
          <w:tcPr>
            <w:tcW w:type="dxa" w:w="18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Northena</w:t>
            </w:r>
          </w:p>
        </w:tc>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Both authorities; compliance surfaces</w:t>
            </w:r>
          </w:p>
        </w:tc>
        <w:tc>
          <w:tcPr>
            <w:tcW w:type="dxa" w:w="24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Admission, gating, convergence, absorbed stamp-audits. Contract-grade per Document 3 §9.</w:t>
            </w:r>
          </w:p>
        </w:tc>
      </w:tr>
      <w:tr>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Trust receipts</w:t>
            </w:r>
          </w:p>
        </w:tc>
        <w:tc>
          <w:tcPr>
            <w:tcW w:type="dxa" w:w="18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SyniSense</w:t>
            </w:r>
          </w:p>
        </w:tc>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Both authorities; the receipt's own consumer</w:t>
            </w:r>
          </w:p>
        </w:tc>
        <w:tc>
          <w:tcPr>
            <w:tcW w:type="dxa" w:w="24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Per invocation, tenant-keyed signature.</w:t>
            </w:r>
          </w:p>
        </w:tc>
      </w:tr>
      <w:tr>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Census and registry records</w:t>
            </w:r>
          </w:p>
        </w:tc>
        <w:tc>
          <w:tcPr>
            <w:tcW w:type="dxa" w:w="18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Mtafiti</w:t>
            </w:r>
          </w:p>
        </w:tc>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Both authorities; every surface by proof link</w:t>
            </w:r>
          </w:p>
        </w:tc>
        <w:tc>
          <w:tcPr>
            <w:tcW w:type="dxa" w:w="24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Objective-blind measurement; the Watch reads sensitivity classes for tripwire coverage and never writes.</w:t>
            </w:r>
          </w:p>
        </w:tc>
      </w:tr>
      <w:tr>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Mining plans</w:t>
            </w:r>
          </w:p>
        </w:tc>
        <w:tc>
          <w:tcPr>
            <w:tcW w:type="dxa" w:w="18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Targeta</w:t>
            </w:r>
          </w:p>
        </w:tc>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Governing authority; auditors</w:t>
            </w:r>
          </w:p>
        </w:tc>
        <w:tc>
          <w:tcPr>
            <w:tcW w:type="dxa" w:w="24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Watch neither reads to steer nor writes.</w:t>
            </w:r>
          </w:p>
        </w:tc>
      </w:tr>
      <w:tr>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Reasoning traces · intent audits</w:t>
            </w:r>
          </w:p>
        </w:tc>
        <w:tc>
          <w:tcPr>
            <w:tcW w:type="dxa" w:w="18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Solva</w:t>
            </w:r>
          </w:p>
        </w:tc>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Both authorities</w:t>
            </w:r>
          </w:p>
        </w:tc>
        <w:tc>
          <w:tcPr>
            <w:tcW w:type="dxa" w:w="24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intent audit's divergence fields are emissions the Watch reads as signals.</w:t>
            </w:r>
          </w:p>
        </w:tc>
      </w:tr>
      <w:tr>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Declarations</w:t>
            </w:r>
          </w:p>
        </w:tc>
        <w:tc>
          <w:tcPr>
            <w:tcW w:type="dxa" w:w="18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Admission (Northena), from the actor</w:t>
            </w:r>
          </w:p>
        </w:tc>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Both authorities</w:t>
            </w:r>
          </w:p>
        </w:tc>
        <w:tc>
          <w:tcPr>
            <w:tcW w:type="dxa" w:w="24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Frozen per Document 3 §6.1; re-declaration supersedes by new entry.</w:t>
            </w:r>
          </w:p>
        </w:tc>
      </w:tr>
      <w:tr>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Rules · registries · ceremonies</w:t>
            </w:r>
          </w:p>
        </w:tc>
        <w:tc>
          <w:tcPr>
            <w:tcW w:type="dxa" w:w="18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rules service</w:t>
            </w:r>
          </w:p>
        </w:tc>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Both authorities; both consoles</w:t>
            </w:r>
          </w:p>
        </w:tc>
        <w:tc>
          <w:tcPr>
            <w:tcW w:type="dxa" w:w="24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Content authored by the owning authority — governance rules by governance, Watch tables by the Watch — ceremony administered here for both.</w:t>
            </w:r>
          </w:p>
        </w:tc>
      </w:tr>
      <w:tr>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Verdicts</w:t>
            </w:r>
          </w:p>
        </w:tc>
        <w:tc>
          <w:tcPr>
            <w:tcW w:type="dxa" w:w="18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Macho</w:t>
            </w:r>
          </w:p>
        </w:tc>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Mkono; both consoles; auditors</w:t>
            </w:r>
          </w:p>
        </w:tc>
        <w:tc>
          <w:tcPr>
            <w:tcW w:type="dxa" w:w="24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seam artifact of Document 8 §6. Macho writes nothing else.</w:t>
            </w:r>
          </w:p>
        </w:tc>
      </w:tr>
      <w:tr>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Action records</w:t>
            </w:r>
          </w:p>
        </w:tc>
        <w:tc>
          <w:tcPr>
            <w:tcW w:type="dxa" w:w="18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Mkono</w:t>
            </w:r>
          </w:p>
        </w:tc>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Both authorities; both consoles</w:t>
            </w:r>
          </w:p>
        </w:tc>
        <w:tc>
          <w:tcPr>
            <w:tcW w:type="dxa" w:w="24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Act-and-attest atomic; policy row cited; expiry state carried.</w:t>
            </w:r>
          </w:p>
        </w:tc>
      </w:tr>
      <w:tr>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Attestations · drill receipts</w:t>
            </w:r>
          </w:p>
        </w:tc>
        <w:tc>
          <w:tcPr>
            <w:tcW w:type="dxa" w:w="18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Watch workers · the witness</w:t>
            </w:r>
          </w:p>
        </w:tc>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Everyone with assurance standing</w:t>
            </w:r>
          </w:p>
        </w:tc>
        <w:tc>
          <w:tcPr>
            <w:tcW w:type="dxa" w:w="24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break-in test's failures-to-modify land here as measurements.</w:t>
            </w:r>
          </w:p>
        </w:tc>
      </w:tr>
      <w:tr>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Marks</w:t>
            </w:r>
          </w:p>
        </w:tc>
        <w:tc>
          <w:tcPr>
            <w:tcW w:type="dxa" w:w="18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Mkono</w:t>
            </w:r>
          </w:p>
        </w:tc>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Every gate, on every pass</w:t>
            </w:r>
          </w:p>
        </w:tc>
        <w:tc>
          <w:tcPr>
            <w:tcW w:type="dxa" w:w="24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Dimension set per Document 8 §10; de-mark entries carry two signatures.</w:t>
            </w:r>
          </w:p>
        </w:tc>
      </w:tr>
      <w:tr>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Behavioural profiles</w:t>
            </w:r>
          </w:p>
        </w:tc>
        <w:tc>
          <w:tcPr>
            <w:tcW w:type="dxa" w:w="18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signature substrate</w:t>
            </w:r>
          </w:p>
        </w:tc>
        <w:tc>
          <w:tcPr>
            <w:tcW w:type="dxa" w:w="2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No surface, ever</w:t>
            </w:r>
          </w:p>
        </w:tc>
        <w:tc>
          <w:tcPr>
            <w:tcW w:type="dxa" w:w="24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W13: parameters only, tenant-keyed, non-exportable; trust standing derives outward, internals never do.</w:t>
            </w:r>
          </w:p>
        </w:tc>
      </w:tr>
      <w:tr>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Memory-plane rows</w:t>
            </w:r>
          </w:p>
        </w:tc>
        <w:tc>
          <w:tcPr>
            <w:tcW w:type="dxa" w:w="18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owning application, via its plane</w:t>
            </w:r>
          </w:p>
        </w:tc>
        <w:tc>
          <w:tcPr>
            <w:tcW w:type="dxa" w:w="2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estate holder; compliance</w:t>
            </w:r>
          </w:p>
        </w:tc>
        <w:tc>
          <w:tcPr>
            <w:tcW w:type="dxa" w:w="24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Per Document 7 Part IV; the Watch reads plane activity as behaviour, never plane content as data.</w:t>
            </w:r>
          </w:p>
        </w:tc>
      </w:tr>
    </w:tbl>
    <w:p>
      <w:pPr>
        <w:spacing w:after="150"/>
      </w:pP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Reading Discipline</w:t>
      </w:r>
    </w:p>
    <w:p>
      <w:pPr>
        <w:spacing w:after="150" w:line="292"/>
      </w:pPr>
      <w:r>
        <w:rPr>
          <w:rFonts w:ascii="Calibri" w:cs="Calibri" w:eastAsia="Calibri" w:hAnsi="Calibri"/>
          <w:b w:val="false"/>
          <w:bCs w:val="false"/>
          <w:i w:val="false"/>
          <w:iCs w:val="false"/>
          <w:color w:val="1A1A17"/>
          <w:sz w:val="20"/>
          <w:szCs w:val="20"/>
        </w:rPr>
        <w:t xml:space="preserve">Reads are as governed as writes. The Watch reads governance evidence to protect the estate and for no other purpose; governance reads Watch records for assurance and never to re-litigate a verdict; and neither authority's surfaces render the other's interior — the compliance owner sees that the Watch acted and why at the record level, never its thresholds or placements; the watch officer sees the run record's facts, never governance's deliberations. Same facts, two readings, by construction.</w:t>
      </w:r>
    </w:p>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The Task-Identity Register</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One Task, One Identity</w:t>
      </w:r>
    </w:p>
    <w:p>
      <w:pPr>
        <w:spacing w:after="150" w:line="292"/>
      </w:pPr>
      <w:r>
        <w:rPr>
          <w:rFonts w:ascii="Calibri" w:cs="Calibri" w:eastAsia="Calibri" w:hAnsi="Calibri"/>
          <w:b w:val="false"/>
          <w:bCs w:val="false"/>
          <w:i w:val="false"/>
          <w:iCs w:val="false"/>
          <w:color w:val="1A1A17"/>
          <w:sz w:val="20"/>
          <w:szCs w:val="20"/>
        </w:rPr>
        <w:t xml:space="preserve">Every task class in the platform maps to exactly one authority's identity and scope before it executes. An unmapped task class does not run — not runs-with-a-warning; does not run. Workers serve both authorities across time and never within a task; evidence crosses between authorities only through the matrix above, provenance-marked with the identity that produced it, never sideways through a dual-hatted task. The register's enforcement is structural: no credential scope exists that spans both authorities, so defect D8 — Document 7 §47 — is unrepresentable rather than policed.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650"/>
        <w:gridCol w:w="3276"/>
      </w:tblGrid>
      <w:tr>
        <w:trPr>
          <w:tblHeader/>
        </w:trPr>
        <w:tc>
          <w:tcPr>
            <w:tcW w:type="dxa" w:w="31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Task class</w:t>
            </w:r>
          </w:p>
        </w:tc>
        <w:tc>
          <w:tcPr>
            <w:tcW w:type="dxa" w:w="265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Identity</w:t>
            </w:r>
          </w:p>
        </w:tc>
        <w:tc>
          <w:tcPr>
            <w:tcW w:type="dxa" w:w="327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Scope note</w:t>
            </w:r>
          </w:p>
        </w:tc>
      </w:tr>
      <w:tr>
        <w:tc>
          <w:tcPr>
            <w:tcW w:type="dxa" w:w="3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Admission · gating · convergence · ledger writes</w:t>
            </w:r>
          </w:p>
        </w:tc>
        <w:tc>
          <w:tcPr>
            <w:tcW w:type="dxa" w:w="26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Governance · Northena</w:t>
            </w:r>
          </w:p>
        </w:tc>
        <w:tc>
          <w:tcPr>
            <w:tcW w:type="dxa" w:w="32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Includes declaration capture at admit</w:t>
            </w:r>
          </w:p>
        </w:tc>
      </w:tr>
      <w:tr>
        <w:tc>
          <w:tcPr>
            <w:tcW w:type="dxa" w:w="3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Custody chain · chokepoint · egress</w:t>
            </w:r>
          </w:p>
        </w:tc>
        <w:tc>
          <w:tcPr>
            <w:tcW w:type="dxa" w:w="26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Governance · SyniSense</w:t>
            </w:r>
          </w:p>
        </w:tc>
        <w:tc>
          <w:tcPr>
            <w:tcW w:type="dxa" w:w="32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input seat's sensing runs under Watch identity at the same physical point — two tasks, two identities, one location</w:t>
            </w:r>
          </w:p>
        </w:tc>
      </w:tr>
      <w:tr>
        <w:tc>
          <w:tcPr>
            <w:tcW w:type="dxa" w:w="3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Census · measurement · targeting · reasoning</w:t>
            </w:r>
          </w:p>
        </w:tc>
        <w:tc>
          <w:tcPr>
            <w:tcW w:type="dxa" w:w="26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Governance · owning engine</w:t>
            </w:r>
          </w:p>
        </w:tc>
        <w:tc>
          <w:tcPr>
            <w:tcW w:type="dxa" w:w="32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Per Documents 4</w:t>
            </w:r>
          </w:p>
        </w:tc>
      </w:tr>
      <w:tr>
        <w:tc>
          <w:tcPr>
            <w:tcW w:type="dxa" w:w="3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Rule ceremony administration</w:t>
            </w:r>
          </w:p>
        </w:tc>
        <w:tc>
          <w:tcPr>
            <w:tcW w:type="dxa" w:w="26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Governance · rules service</w:t>
            </w:r>
          </w:p>
        </w:tc>
        <w:tc>
          <w:tcPr>
            <w:tcW w:type="dxa" w:w="32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For both authorities' values; content authorship stays with the owner</w:t>
            </w:r>
          </w:p>
        </w:tc>
      </w:tr>
      <w:tr>
        <w:tc>
          <w:tcPr>
            <w:tcW w:type="dxa" w:w="3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Sensing · scoring · reconciliation · verdict minting</w:t>
            </w:r>
          </w:p>
        </w:tc>
        <w:tc>
          <w:tcPr>
            <w:tcW w:type="dxa" w:w="26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Watch · Macho</w:t>
            </w:r>
          </w:p>
        </w:tc>
        <w:tc>
          <w:tcPr>
            <w:tcW w:type="dxa" w:w="32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Read-only against governance records</w:t>
            </w:r>
          </w:p>
        </w:tc>
      </w:tr>
      <w:tr>
        <w:tc>
          <w:tcPr>
            <w:tcW w:type="dxa" w:w="3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Response execution · marks · mirage operation · trust discounts</w:t>
            </w:r>
          </w:p>
        </w:tc>
        <w:tc>
          <w:tcPr>
            <w:tcW w:type="dxa" w:w="26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Watch · Mkono</w:t>
            </w:r>
          </w:p>
        </w:tc>
        <w:tc>
          <w:tcPr>
            <w:tcW w:type="dxa" w:w="32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Writes only its own classes; no write to any governance class</w:t>
            </w:r>
          </w:p>
        </w:tc>
      </w:tr>
      <w:tr>
        <w:tc>
          <w:tcPr>
            <w:tcW w:type="dxa" w:w="3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Attestation · watchdog · break-in test</w:t>
            </w:r>
          </w:p>
        </w:tc>
        <w:tc>
          <w:tcPr>
            <w:tcW w:type="dxa" w:w="26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witness</w:t>
            </w:r>
          </w:p>
        </w:tc>
        <w:tc>
          <w:tcPr>
            <w:tcW w:type="dxa" w:w="32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Neither authority's credentials; alarms outward</w:t>
            </w:r>
          </w:p>
        </w:tc>
      </w:tr>
      <w:tr>
        <w:tc>
          <w:tcPr>
            <w:tcW w:type="dxa" w:w="3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Console sessions</w:t>
            </w:r>
          </w:p>
        </w:tc>
        <w:tc>
          <w:tcPr>
            <w:tcW w:type="dxa" w:w="26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console's authority</w:t>
            </w:r>
          </w:p>
        </w:tc>
        <w:tc>
          <w:tcPr>
            <w:tcW w:type="dxa" w:w="32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Trust Center under governance; Watch Console under Watch; each session receipted under its own identity</w:t>
            </w:r>
          </w:p>
        </w:tc>
      </w:tr>
    </w:tbl>
    <w:p>
      <w:pPr>
        <w:spacing w:after="150"/>
      </w:pPr>
    </w:p>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The Handoff Contracts</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Where Work Crosses</w:t>
      </w:r>
    </w:p>
    <w:p>
      <w:pPr>
        <w:spacing w:after="150" w:line="292"/>
      </w:pPr>
      <w:r>
        <w:rPr>
          <w:rFonts w:ascii="Calibri" w:cs="Calibri" w:eastAsia="Calibri" w:hAnsi="Calibri"/>
          <w:b w:val="false"/>
          <w:bCs w:val="false"/>
          <w:i w:val="false"/>
          <w:iCs w:val="false"/>
          <w:color w:val="1A1A17"/>
          <w:sz w:val="20"/>
          <w:szCs w:val="20"/>
        </w:rPr>
        <w:t xml:space="preserve">Every crossing between services or authorities is a registered contract: what crosses, in what shape, under whose identity, with what receipt. An unregistered handoff is a finding. The contracts in force: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Handoff</w:t>
            </w:r>
          </w:p>
        </w:tc>
        <w:tc>
          <w:tcPr>
            <w:tcW w:type="dxa" w:w="65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Contract</w:t>
            </w:r>
          </w:p>
        </w:tc>
      </w:tr>
      <w:tr>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Admission → extraction</w:t>
            </w:r>
          </w:p>
        </w:tc>
        <w:tc>
          <w:tcPr>
            <w:tcW w:type="dxa" w:w="6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frozen artifact and declaration cross whole; Document 3 §5–§8 and Document 4 §34.2 govern; receipt is the admit row.</w:t>
            </w:r>
          </w:p>
        </w:tc>
      </w:tr>
      <w:tr>
        <w:tc>
          <w:tcPr>
            <w:tcW w:type="dxa" w:w="25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Chokepoint → model</w:t>
            </w:r>
          </w:p>
        </w:tc>
        <w:tc>
          <w:tcPr>
            <w:tcW w:type="dxa" w:w="65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Custody chain per Document 3 §13.1 with the input seat's verdict preceding invocation; a hold here renders through the refusal taxonomy; receipt is the trust receipt plus the verdict.</w:t>
            </w:r>
          </w:p>
        </w:tc>
      </w:tr>
      <w:tr>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Verdict → response</w:t>
            </w:r>
          </w:p>
        </w:tc>
        <w:tc>
          <w:tcPr>
            <w:tcW w:type="dxa" w:w="6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seam of Document 8 §6: verdict row in, action out, policy version cited; no other channel between the engines exists.</w:t>
            </w:r>
          </w:p>
        </w:tc>
      </w:tr>
      <w:tr>
        <w:tc>
          <w:tcPr>
            <w:tcW w:type="dxa" w:w="25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Containment → decision</w:t>
            </w:r>
          </w:p>
        </w:tc>
        <w:tc>
          <w:tcPr>
            <w:tcW w:type="dxa" w:w="65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A reserved-decision item crosses to the Decisions panel with its walk attached; resolution crosses back as a ceremony-grade entry; expiry governs the interim.</w:t>
            </w:r>
          </w:p>
        </w:tc>
      </w:tr>
      <w:tr>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Mirage release → reconciliation</w:t>
            </w:r>
          </w:p>
        </w:tc>
        <w:tc>
          <w:tcPr>
            <w:tcW w:type="dxa" w:w="6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Release verdict crosses to the replay-or-notify duty under the ruled posture; discharge is receipted; the friction budget is debited.</w:t>
            </w:r>
          </w:p>
        </w:tc>
      </w:tr>
      <w:tr>
        <w:tc>
          <w:tcPr>
            <w:tcW w:type="dxa" w:w="25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Disagreement → resolution</w:t>
            </w:r>
          </w:p>
        </w:tc>
        <w:tc>
          <w:tcPr>
            <w:tcW w:type="dxa" w:w="65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Both authorities' records cross side by side; the human's resolution lands in both readings as one entry; neither record is amended — corrected by new entry only.</w:t>
            </w:r>
          </w:p>
        </w:tc>
      </w:tr>
      <w:tr>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Watch findings → CIF</w:t>
            </w:r>
          </w:p>
        </w:tc>
        <w:tc>
          <w:tcPr>
            <w:tcW w:type="dxa" w:w="6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Findings cross as detection input under CIF's own origination port; nothing crosses back but ratified frames through the coach seat.</w:t>
            </w:r>
          </w:p>
        </w:tc>
      </w:tr>
    </w:tbl>
    <w:p>
      <w:pPr>
        <w:spacing w:after="150"/>
      </w:pP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Change and Precedence</w:t>
      </w:r>
    </w:p>
    <w:p>
      <w:pPr>
        <w:spacing w:after="150" w:line="292"/>
      </w:pPr>
      <w:r>
        <w:rPr>
          <w:rFonts w:ascii="Calibri" w:cs="Calibri" w:eastAsia="Calibri" w:hAnsi="Calibri"/>
          <w:b w:val="false"/>
          <w:bCs w:val="false"/>
          <w:i w:val="false"/>
          <w:iCs w:val="false"/>
          <w:color w:val="1A1A17"/>
          <w:sz w:val="20"/>
          <w:szCs w:val="20"/>
        </w:rPr>
        <w:t xml:space="preserve">This charter changes by the same ceremony as any consequential rule — proposed, counter-signed, waited, applied, re-verified — with matrix changes carrying the slowest countdown class, because the matrix is the boundary of both authorities at once. Where this charter and any other document appear to disagree about who writes, who reads, or who is acting, this charter governs; where it is silent, the owning authority's canon governs; and a silence that mattered is a finding to close by amendment, never a gap to fill by recollection.</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What This Charter Comes Down To</w:t>
      </w:r>
    </w:p>
    <w:p>
      <w:pPr>
        <w:spacing w:after="150" w:line="292"/>
      </w:pPr>
      <w:r>
        <w:rPr>
          <w:rFonts w:ascii="Calibri" w:cs="Calibri" w:eastAsia="Calibri" w:hAnsi="Calibri"/>
          <w:b w:val="false"/>
          <w:bCs w:val="false"/>
          <w:i w:val="false"/>
          <w:iCs w:val="false"/>
          <w:color w:val="1A1A17"/>
          <w:sz w:val="20"/>
          <w:szCs w:val="20"/>
        </w:rPr>
        <w:t xml:space="preserve">One account per record class, one identity per task, one contract per crossing — held in one short document both authorities cite. Seamlessness comes from the reads; boundaries come from the writes; and the whole point of writing it down is that nobody, human or machine, ever answers a matrix question from memory.</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9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AKKI — THE MKONDO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 The Custody Platform</dc:title>
  <dc:creator>Syni.ai</dc:creator>
  <cp:lastModifiedBy>Un-named</cp:lastModifiedBy>
  <cp:revision>1</cp:revision>
  <dcterms:created xsi:type="dcterms:W3CDTF">2026-08-11T11:37:20.336Z</dcterms:created>
  <dcterms:modified xsi:type="dcterms:W3CDTF">2026-08-11T11:37:20.487Z</dcterms:modified>
</cp:coreProperties>
</file>

<file path=docProps/custom.xml><?xml version="1.0" encoding="utf-8"?>
<Properties xmlns="http://schemas.openxmlformats.org/officeDocument/2006/custom-properties" xmlns:vt="http://schemas.openxmlformats.org/officeDocument/2006/docPropsVTypes"/>
</file>