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Calibri" w:cs="Calibri" w:eastAsia="Calibri" w:hAnsi="Calibri"/>
          <w:b/>
          <w:bCs/>
          <w:color w:val="1E56A0"/>
          <w:sz w:val="17"/>
          <w:szCs w:val="17"/>
        </w:rPr>
        <w:t xml:space="preserve">AKKI PLATFORM  ·  RATIFICATION RECORD</w:t>
      </w:r>
    </w:p>
    <w:p>
      <w:pPr>
        <w:spacing w:after="45"/>
      </w:pPr>
      <w:r>
        <w:rPr>
          <w:rFonts w:ascii="Cambria" w:cs="Cambria" w:eastAsia="Cambria" w:hAnsi="Cambria"/>
          <w:b/>
          <w:bCs/>
          <w:color w:val="12294E"/>
          <w:sz w:val="32"/>
          <w:szCs w:val="32"/>
        </w:rPr>
        <w:t xml:space="preserve">Open Rulings — Consolidated</w:t>
      </w:r>
    </w:p>
    <w:p>
      <w:pPr>
        <w:pBdr>
          <w:bottom w:val="single" w:color="12294E" w:sz="10" w:space="6"/>
        </w:pBdr>
        <w:spacing w:after="160"/>
      </w:pPr>
      <w:r>
        <w:rPr>
          <w:rFonts w:ascii="Calibri" w:cs="Calibri" w:eastAsia="Calibri" w:hAnsi="Calibri"/>
          <w:color w:val="55606E"/>
          <w:sz w:val="21"/>
          <w:szCs w:val="21"/>
        </w:rPr>
        <w:t xml:space="preserve">ratification_record_v1 — every open ruling across all thirteen specs, one place to close them</w:t>
      </w:r>
    </w:p>
    <w:tbl>
      <w:tblPr>
        <w:tblW w:type="dxa" w:w="9160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single" w:color="D7DEE8" w:sz="4"/>
          <w:insideV w:val="single" w:color="D7DEE8" w:sz="4"/>
        </w:tblBorders>
      </w:tblPr>
      <w:tblGrid>
        <w:gridCol w:w="2200"/>
        <w:gridCol w:w="6960"/>
      </w:tblGrid>
      <w:tr>
        <w:trPr>
          <w:tblHeader/>
        </w:trPr>
        <w:tc>
          <w:tcPr>
            <w:tcW w:type="dxa" w:w="2200"/>
            <w:shd w:fill="12294E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  <w:tc>
          <w:tcPr>
            <w:tcW w:type="dxa" w:w="6960"/>
            <w:shd w:fill="12294E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Every ruling parked across akki_governance_architecture_v1, rulebook_engine_spec_v1, dap_backend_spec_v1, the Security Amendments (Trojan/Whisper), the Pruning &amp; Unlearning Amendment, and agent_containment_spec_v1 — in one record, so ratifying does not mean opening thirteen documents to find what's still waiting.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6"/>
                <w:szCs w:val="16"/>
              </w:rPr>
              <w:t xml:space="preserve">How to use</w:t>
            </w:r>
          </w:p>
        </w:tc>
        <w:tc>
          <w:tcPr>
            <w:tcW w:type="dxa" w:w="696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Green rows are resolved — sign off to formalise, nothing to decide. Amber rows carry a recommended default — ratify with one line, or override. Red rows need your own input directly — no default was proposed, either because it names a person or because it's a genuine business or risk-tolerance call this document can't make for you.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6"/>
                <w:szCs w:val="16"/>
              </w:rPr>
              <w:t xml:space="preserve">Count</w:t>
            </w:r>
          </w:p>
        </w:tc>
        <w:tc>
          <w:tcPr>
            <w:tcW w:type="dxa" w:w="696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26 items: 5 resolved, 12 with a recommended default, 6 requiring named input, plus 3 items flagged as dependent on another ruling landing first.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6"/>
                <w:szCs w:val="16"/>
              </w:rPr>
              <w:t xml:space="preserve">Date</w:t>
            </w:r>
          </w:p>
        </w:tc>
        <w:tc>
          <w:tcPr>
            <w:tcW w:type="dxa" w:w="696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9 September 2026</w:t>
            </w:r>
          </w:p>
        </w:tc>
      </w:tr>
    </w:tbl>
    <w:p>
      <w:pPr>
        <w:pStyle w:val="Heading1"/>
        <w:pBdr>
          <w:bottom w:val="single" w:color="D7DEE8" w:sz="6" w:space="6"/>
        </w:pBdr>
        <w:spacing w:after="130" w:before="300"/>
      </w:pPr>
      <w:r>
        <w:rPr>
          <w:rFonts w:ascii="Cambria" w:cs="Cambria" w:eastAsia="Cambria" w:hAnsi="Cambria"/>
          <w:b/>
          <w:bCs/>
          <w:color w:val="12294E"/>
          <w:sz w:val="24"/>
          <w:szCs w:val="24"/>
        </w:rPr>
        <w:t xml:space="preserve">1   akki_governance_architecture_v1 (Document 0)</w:t>
      </w:r>
    </w:p>
    <w:tbl>
      <w:tblPr>
        <w:tblW w:type="dxa" w:w="9360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single" w:color="D7DEE8" w:sz="4"/>
          <w:insideV w:val="single" w:color="D7DEE8" w:sz="4"/>
        </w:tblBorders>
      </w:tblPr>
      <w:tblGrid>
        <w:gridCol w:w="1000"/>
        <w:gridCol w:w="3200"/>
        <w:gridCol w:w="1500"/>
        <w:gridCol w:w="3660"/>
      </w:tblGrid>
      <w:tr>
        <w:trPr>
          <w:tblHeader/>
        </w:trPr>
        <w:tc>
          <w:tcPr>
            <w:tcW w:type="dxa" w:w="1000"/>
            <w:shd w:fill="12294E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3200"/>
            <w:shd w:fill="12294E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Question</w:t>
            </w:r>
          </w:p>
        </w:tc>
        <w:tc>
          <w:tcPr>
            <w:tcW w:type="dxa" w:w="1500"/>
            <w:shd w:fill="12294E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3660"/>
            <w:shd w:fill="12294E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Direction / Recommendation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6"/>
                <w:szCs w:val="16"/>
              </w:rPr>
              <w:t xml:space="preserve">R-1</w:t>
            </w:r>
          </w:p>
        </w:tc>
        <w:tc>
          <w:tcPr>
            <w:tcW w:type="dxa" w:w="320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TCB membership test — ratify Attribute 1's test itself</w:t>
            </w:r>
          </w:p>
        </w:tc>
        <w:tc>
          <w:tcPr>
            <w:tcW w:type="dxa" w:w="150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2E6B3F"/>
                <w:sz w:val="16"/>
                <w:szCs w:val="16"/>
              </w:rPr>
              <w:t xml:space="preserve">Resolved by use</w:t>
            </w:r>
          </w:p>
        </w:tc>
        <w:tc>
          <w:tcPr>
            <w:tcW w:type="dxa" w:w="366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tcb_enumeration_v1 applied it to 27 components without incident. Sign off to formalise.</w:t>
            </w:r>
          </w:p>
        </w:tc>
      </w:tr>
      <w:tr>
        <w:trPr>
          <w:tblHeader w:val="false"/>
        </w:trPr>
        <w:tc>
          <w:tcPr>
            <w:tcW w:type="dxa" w:w="1000"/>
            <w:shd w:fill="F5F7FA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6"/>
                <w:szCs w:val="16"/>
              </w:rPr>
              <w:t xml:space="preserve">R-3</w:t>
            </w:r>
          </w:p>
        </w:tc>
        <w:tc>
          <w:tcPr>
            <w:tcW w:type="dxa" w:w="3200"/>
            <w:shd w:fill="F5F7FA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Watch's TCB membership — full service, or Mkono only</w:t>
            </w:r>
          </w:p>
        </w:tc>
        <w:tc>
          <w:tcPr>
            <w:tcW w:type="dxa" w:w="1500"/>
            <w:shd w:fill="F5F7FA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2E6B3F"/>
                <w:sz w:val="16"/>
                <w:szCs w:val="16"/>
              </w:rPr>
              <w:t xml:space="preserve">Resolved</w:t>
            </w:r>
          </w:p>
        </w:tc>
        <w:tc>
          <w:tcPr>
            <w:tcW w:type="dxa" w:w="3660"/>
            <w:shd w:fill="F5F7FA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Mkono in, Grey Mirror out — tcb_enumeration_v1, consistent with BR-7.4. Sign off.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6"/>
                <w:szCs w:val="16"/>
              </w:rPr>
              <w:t xml:space="preserve">R-5</w:t>
            </w:r>
          </w:p>
        </w:tc>
        <w:tc>
          <w:tcPr>
            <w:tcW w:type="dxa" w:w="320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Deployment model — shared, dedicated, or both</w:t>
            </w:r>
          </w:p>
        </w:tc>
        <w:tc>
          <w:tcPr>
            <w:tcW w:type="dxa" w:w="150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2E6B3F"/>
                <w:sz w:val="16"/>
                <w:szCs w:val="16"/>
              </w:rPr>
              <w:t xml:space="preserve">Resolved</w:t>
            </w:r>
          </w:p>
        </w:tc>
        <w:tc>
          <w:tcPr>
            <w:tcW w:type="dxa" w:w="366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Dedicated per tenant, by cross-reference to the already-ratified appliance spec. Sign off.</w:t>
            </w:r>
          </w:p>
        </w:tc>
      </w:tr>
    </w:tbl>
    <w:p>
      <w:pPr>
        <w:pStyle w:val="Heading1"/>
        <w:pBdr>
          <w:bottom w:val="single" w:color="D7DEE8" w:sz="6" w:space="6"/>
        </w:pBdr>
        <w:spacing w:after="130" w:before="300"/>
      </w:pPr>
      <w:r>
        <w:rPr>
          <w:rFonts w:ascii="Cambria" w:cs="Cambria" w:eastAsia="Cambria" w:hAnsi="Cambria"/>
          <w:b/>
          <w:bCs/>
          <w:color w:val="12294E"/>
          <w:sz w:val="24"/>
          <w:szCs w:val="24"/>
        </w:rPr>
        <w:t xml:space="preserve">2   rulebook_engine_spec_v1 (Rules Service)</w:t>
      </w:r>
    </w:p>
    <w:tbl>
      <w:tblPr>
        <w:tblW w:type="dxa" w:w="9360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single" w:color="D7DEE8" w:sz="4"/>
          <w:insideV w:val="single" w:color="D7DEE8" w:sz="4"/>
        </w:tblBorders>
      </w:tblPr>
      <w:tblGrid>
        <w:gridCol w:w="1000"/>
        <w:gridCol w:w="3200"/>
        <w:gridCol w:w="1500"/>
        <w:gridCol w:w="3660"/>
      </w:tblGrid>
      <w:tr>
        <w:trPr>
          <w:tblHeader/>
        </w:trPr>
        <w:tc>
          <w:tcPr>
            <w:tcW w:type="dxa" w:w="1000"/>
            <w:shd w:fill="12294E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3200"/>
            <w:shd w:fill="12294E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Question</w:t>
            </w:r>
          </w:p>
        </w:tc>
        <w:tc>
          <w:tcPr>
            <w:tcW w:type="dxa" w:w="1500"/>
            <w:shd w:fill="12294E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3660"/>
            <w:shd w:fill="12294E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Direction / Recommendation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6"/>
                <w:szCs w:val="16"/>
              </w:rPr>
              <w:t xml:space="preserve">R-1</w:t>
            </w:r>
          </w:p>
        </w:tc>
        <w:tc>
          <w:tcPr>
            <w:tcW w:type="dxa" w:w="320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Countdown lengths per tier</w:t>
            </w:r>
          </w:p>
        </w:tc>
        <w:tc>
          <w:tcPr>
            <w:tcW w:type="dxa" w:w="150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8A6D1A"/>
                <w:sz w:val="16"/>
                <w:szCs w:val="16"/>
              </w:rPr>
              <w:t xml:space="preserve">Recommended default</w:t>
            </w:r>
          </w:p>
        </w:tc>
        <w:tc>
          <w:tcPr>
            <w:tcW w:type="dxa" w:w="366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48 hours system-ordinary; 7 days system-TCB.</w:t>
            </w:r>
          </w:p>
        </w:tc>
      </w:tr>
      <w:tr>
        <w:trPr>
          <w:tblHeader w:val="false"/>
        </w:trPr>
        <w:tc>
          <w:tcPr>
            <w:tcW w:type="dxa" w:w="1000"/>
            <w:shd w:fill="F5F7FA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6"/>
                <w:szCs w:val="16"/>
              </w:rPr>
              <w:t xml:space="preserve">R-2</w:t>
            </w:r>
          </w:p>
        </w:tc>
        <w:tc>
          <w:tcPr>
            <w:tcW w:type="dxa" w:w="3200"/>
            <w:shd w:fill="F5F7FA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Second signatory role, system-ordinary rules</w:t>
            </w:r>
          </w:p>
        </w:tc>
        <w:tc>
          <w:tcPr>
            <w:tcW w:type="dxa" w:w="1500"/>
            <w:shd w:fill="F5F7FA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8A2A2A"/>
                <w:sz w:val="16"/>
                <w:szCs w:val="16"/>
              </w:rPr>
              <w:t xml:space="preserve">Owner input</w:t>
            </w:r>
          </w:p>
        </w:tc>
        <w:tc>
          <w:tcPr>
            <w:tcW w:type="dxa" w:w="3660"/>
            <w:shd w:fill="F5F7FA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Recommend the shape — a named engineering role distinct from the rule's own author. The person is yours to name.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6"/>
                <w:szCs w:val="16"/>
              </w:rPr>
              <w:t xml:space="preserve">R-3</w:t>
            </w:r>
          </w:p>
        </w:tc>
        <w:tc>
          <w:tcPr>
            <w:tcW w:type="dxa" w:w="320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External witness, system-TCB rules — same as the Watch's, or separate</w:t>
            </w:r>
          </w:p>
        </w:tc>
        <w:tc>
          <w:tcPr>
            <w:tcW w:type="dxa" w:w="150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8A6D1A"/>
                <w:sz w:val="16"/>
                <w:szCs w:val="16"/>
              </w:rPr>
              <w:t xml:space="preserve">Recommended default</w:t>
            </w:r>
          </w:p>
        </w:tc>
        <w:tc>
          <w:tcPr>
            <w:tcW w:type="dxa" w:w="366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Reuse the Watch's existing witness (C3). A second role buys no more independence.</w:t>
            </w:r>
          </w:p>
        </w:tc>
      </w:tr>
      <w:tr>
        <w:trPr>
          <w:tblHeader w:val="false"/>
        </w:trPr>
        <w:tc>
          <w:tcPr>
            <w:tcW w:type="dxa" w:w="1000"/>
            <w:shd w:fill="F5F7FA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6"/>
                <w:szCs w:val="16"/>
              </w:rPr>
              <w:t xml:space="preserve">R-4</w:t>
            </w:r>
          </w:p>
        </w:tc>
        <w:tc>
          <w:tcPr>
            <w:tcW w:type="dxa" w:w="3200"/>
            <w:shd w:fill="F5F7FA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Ratify v1 business-type taxonomy</w:t>
            </w:r>
          </w:p>
        </w:tc>
        <w:tc>
          <w:tcPr>
            <w:tcW w:type="dxa" w:w="1500"/>
            <w:shd w:fill="F5F7FA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8A6D1A"/>
                <w:sz w:val="16"/>
                <w:szCs w:val="16"/>
              </w:rPr>
              <w:t xml:space="preserve">Recommended default</w:t>
            </w:r>
          </w:p>
        </w:tc>
        <w:tc>
          <w:tcPr>
            <w:tcW w:type="dxa" w:w="3660"/>
            <w:shd w:fill="F5F7FA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Ratify as proposed.</w:t>
            </w:r>
          </w:p>
        </w:tc>
      </w:tr>
    </w:tbl>
    <w:p>
      <w:pPr>
        <w:pStyle w:val="Heading1"/>
        <w:pBdr>
          <w:bottom w:val="single" w:color="D7DEE8" w:sz="6" w:space="6"/>
        </w:pBdr>
        <w:spacing w:after="130" w:before="300"/>
      </w:pPr>
      <w:r>
        <w:rPr>
          <w:rFonts w:ascii="Cambria" w:cs="Cambria" w:eastAsia="Cambria" w:hAnsi="Cambria"/>
          <w:b/>
          <w:bCs/>
          <w:color w:val="12294E"/>
          <w:sz w:val="24"/>
          <w:szCs w:val="24"/>
        </w:rPr>
        <w:t xml:space="preserve">3   dap_backend_spec_v1</w:t>
      </w:r>
    </w:p>
    <w:tbl>
      <w:tblPr>
        <w:tblW w:type="dxa" w:w="9360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single" w:color="D7DEE8" w:sz="4"/>
          <w:insideV w:val="single" w:color="D7DEE8" w:sz="4"/>
        </w:tblBorders>
      </w:tblPr>
      <w:tblGrid>
        <w:gridCol w:w="1000"/>
        <w:gridCol w:w="3200"/>
        <w:gridCol w:w="1500"/>
        <w:gridCol w:w="3660"/>
      </w:tblGrid>
      <w:tr>
        <w:trPr>
          <w:tblHeader/>
        </w:trPr>
        <w:tc>
          <w:tcPr>
            <w:tcW w:type="dxa" w:w="1000"/>
            <w:shd w:fill="12294E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3200"/>
            <w:shd w:fill="12294E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Question</w:t>
            </w:r>
          </w:p>
        </w:tc>
        <w:tc>
          <w:tcPr>
            <w:tcW w:type="dxa" w:w="1500"/>
            <w:shd w:fill="12294E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3660"/>
            <w:shd w:fill="12294E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Direction / Recommendation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6"/>
                <w:szCs w:val="16"/>
              </w:rPr>
              <w:t xml:space="preserve">R-1</w:t>
            </w:r>
          </w:p>
        </w:tc>
        <w:tc>
          <w:tcPr>
            <w:tcW w:type="dxa" w:w="320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Controlled-unit definition</w:t>
            </w:r>
          </w:p>
        </w:tc>
        <w:tc>
          <w:tcPr>
            <w:tcW w:type="dxa" w:w="150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8A6D1A"/>
                <w:sz w:val="16"/>
                <w:szCs w:val="16"/>
              </w:rPr>
              <w:t xml:space="preserve">Recommended default</w:t>
            </w:r>
          </w:p>
        </w:tc>
        <w:tc>
          <w:tcPr>
            <w:tcW w:type="dxa" w:w="366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Ratify as proposed — already used as settled throughout everything built since.</w:t>
            </w:r>
          </w:p>
        </w:tc>
      </w:tr>
      <w:tr>
        <w:trPr>
          <w:tblHeader w:val="false"/>
        </w:trPr>
        <w:tc>
          <w:tcPr>
            <w:tcW w:type="dxa" w:w="1000"/>
            <w:shd w:fill="F5F7FA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6"/>
                <w:szCs w:val="16"/>
              </w:rPr>
              <w:t xml:space="preserve">R-2</w:t>
            </w:r>
          </w:p>
        </w:tc>
        <w:tc>
          <w:tcPr>
            <w:tcW w:type="dxa" w:w="3200"/>
            <w:shd w:fill="F5F7FA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Approving authority at RMS</w:t>
            </w:r>
          </w:p>
        </w:tc>
        <w:tc>
          <w:tcPr>
            <w:tcW w:type="dxa" w:w="1500"/>
            <w:shd w:fill="F5F7FA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8A2A2A"/>
                <w:sz w:val="16"/>
                <w:szCs w:val="16"/>
              </w:rPr>
              <w:t xml:space="preserve">Owner input</w:t>
            </w:r>
          </w:p>
        </w:tc>
        <w:tc>
          <w:tcPr>
            <w:tcW w:type="dxa" w:w="3660"/>
            <w:shd w:fill="F5F7FA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Named person required.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6"/>
                <w:szCs w:val="16"/>
              </w:rPr>
              <w:t xml:space="preserve">R-3</w:t>
            </w:r>
          </w:p>
        </w:tc>
        <w:tc>
          <w:tcPr>
            <w:tcW w:type="dxa" w:w="320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Per-party extraction ceilings</w:t>
            </w:r>
          </w:p>
        </w:tc>
        <w:tc>
          <w:tcPr>
            <w:tcW w:type="dxa" w:w="150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8A6D1A"/>
                <w:sz w:val="16"/>
                <w:szCs w:val="16"/>
              </w:rPr>
              <w:t xml:space="preserve">Dependent</w:t>
            </w:r>
          </w:p>
        </w:tc>
        <w:tc>
          <w:tcPr>
            <w:tcW w:type="dxa" w:w="366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Should be an allocation against the estate release budget (Security Amendments R-7), not an independent number. Rule after R-7, not before.</w:t>
            </w:r>
          </w:p>
        </w:tc>
      </w:tr>
      <w:tr>
        <w:trPr>
          <w:tblHeader w:val="false"/>
        </w:trPr>
        <w:tc>
          <w:tcPr>
            <w:tcW w:type="dxa" w:w="1000"/>
            <w:shd w:fill="F5F7FA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6"/>
                <w:szCs w:val="16"/>
              </w:rPr>
              <w:t xml:space="preserve">R-4</w:t>
            </w:r>
          </w:p>
        </w:tc>
        <w:tc>
          <w:tcPr>
            <w:tcW w:type="dxa" w:w="3200"/>
            <w:shd w:fill="F5F7FA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API key lifetime / rotation</w:t>
            </w:r>
          </w:p>
        </w:tc>
        <w:tc>
          <w:tcPr>
            <w:tcW w:type="dxa" w:w="1500"/>
            <w:shd w:fill="F5F7FA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8A6D1A"/>
                <w:sz w:val="16"/>
                <w:szCs w:val="16"/>
              </w:rPr>
              <w:t xml:space="preserve">Recommended default</w:t>
            </w:r>
          </w:p>
        </w:tc>
        <w:tc>
          <w:tcPr>
            <w:tcW w:type="dxa" w:w="3660"/>
            <w:shd w:fill="F5F7FA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90-day rotation.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6"/>
                <w:szCs w:val="16"/>
              </w:rPr>
              <w:t xml:space="preserve">R-5</w:t>
            </w:r>
          </w:p>
        </w:tc>
        <w:tc>
          <w:tcPr>
            <w:tcW w:type="dxa" w:w="320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External-party taxonomy entry</w:t>
            </w:r>
          </w:p>
        </w:tc>
        <w:tc>
          <w:tcPr>
            <w:tcW w:type="dxa" w:w="150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8A6D1A"/>
                <w:sz w:val="16"/>
                <w:szCs w:val="16"/>
              </w:rPr>
              <w:t xml:space="preserve">Recommended default</w:t>
            </w:r>
          </w:p>
        </w:tc>
        <w:tc>
          <w:tcPr>
            <w:tcW w:type="dxa" w:w="366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Give AI labs their own entry — their rule-book mix matches no existing profile.</w:t>
            </w:r>
          </w:p>
        </w:tc>
      </w:tr>
      <w:tr>
        <w:trPr>
          <w:tblHeader w:val="false"/>
        </w:trPr>
        <w:tc>
          <w:tcPr>
            <w:tcW w:type="dxa" w:w="1000"/>
            <w:shd w:fill="F5F7FA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6"/>
                <w:szCs w:val="16"/>
              </w:rPr>
              <w:t xml:space="preserve">R-6</w:t>
            </w:r>
          </w:p>
        </w:tc>
        <w:tc>
          <w:tcPr>
            <w:tcW w:type="dxa" w:w="3200"/>
            <w:shd w:fill="F5F7FA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Licensing and pricing model</w:t>
            </w:r>
          </w:p>
        </w:tc>
        <w:tc>
          <w:tcPr>
            <w:tcW w:type="dxa" w:w="1500"/>
            <w:shd w:fill="F5F7FA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8A2A2A"/>
                <w:sz w:val="16"/>
                <w:szCs w:val="16"/>
              </w:rPr>
              <w:t xml:space="preserve">Owner input</w:t>
            </w:r>
          </w:p>
        </w:tc>
        <w:tc>
          <w:tcPr>
            <w:tcW w:type="dxa" w:w="3660"/>
            <w:shd w:fill="F5F7FA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Commercial decision. No technical default applies.</w:t>
            </w:r>
          </w:p>
        </w:tc>
      </w:tr>
    </w:tbl>
    <w:p>
      <w:pPr>
        <w:pStyle w:val="Heading1"/>
        <w:pBdr>
          <w:bottom w:val="single" w:color="D7DEE8" w:sz="6" w:space="6"/>
        </w:pBdr>
        <w:spacing w:after="130" w:before="300"/>
      </w:pPr>
      <w:r>
        <w:rPr>
          <w:rFonts w:ascii="Cambria" w:cs="Cambria" w:eastAsia="Cambria" w:hAnsi="Cambria"/>
          <w:b/>
          <w:bCs/>
          <w:color w:val="12294E"/>
          <w:sz w:val="24"/>
          <w:szCs w:val="24"/>
        </w:rPr>
        <w:t xml:space="preserve">4   Security Amendments — Trojan Artefacts and Whisper Threats</w:t>
      </w:r>
    </w:p>
    <w:tbl>
      <w:tblPr>
        <w:tblW w:type="dxa" w:w="9360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single" w:color="D7DEE8" w:sz="4"/>
          <w:insideV w:val="single" w:color="D7DEE8" w:sz="4"/>
        </w:tblBorders>
      </w:tblPr>
      <w:tblGrid>
        <w:gridCol w:w="1000"/>
        <w:gridCol w:w="3200"/>
        <w:gridCol w:w="1500"/>
        <w:gridCol w:w="3660"/>
      </w:tblGrid>
      <w:tr>
        <w:trPr>
          <w:tblHeader/>
        </w:trPr>
        <w:tc>
          <w:tcPr>
            <w:tcW w:type="dxa" w:w="1000"/>
            <w:shd w:fill="12294E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3200"/>
            <w:shd w:fill="12294E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Question</w:t>
            </w:r>
          </w:p>
        </w:tc>
        <w:tc>
          <w:tcPr>
            <w:tcW w:type="dxa" w:w="1500"/>
            <w:shd w:fill="12294E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3660"/>
            <w:shd w:fill="12294E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Direction / Recommendation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6"/>
                <w:szCs w:val="16"/>
              </w:rPr>
              <w:t xml:space="preserve">R-7</w:t>
            </w:r>
          </w:p>
        </w:tc>
        <w:tc>
          <w:tcPr>
            <w:tcW w:type="dxa" w:w="320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Estate release budget size</w:t>
            </w:r>
          </w:p>
        </w:tc>
        <w:tc>
          <w:tcPr>
            <w:tcW w:type="dxa" w:w="150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8A2A2A"/>
                <w:sz w:val="16"/>
                <w:szCs w:val="16"/>
              </w:rPr>
              <w:t xml:space="preserve">Owner input — highest priority</w:t>
            </w:r>
          </w:p>
        </w:tc>
        <w:tc>
          <w:tcPr>
            <w:tcW w:type="dxa" w:w="366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Risk tolerance for this specific estate's data. Everything else in §3 and §5 waits on this number.</w:t>
            </w:r>
          </w:p>
        </w:tc>
      </w:tr>
      <w:tr>
        <w:trPr>
          <w:tblHeader w:val="false"/>
        </w:trPr>
        <w:tc>
          <w:tcPr>
            <w:tcW w:type="dxa" w:w="1000"/>
            <w:shd w:fill="F5F7FA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6"/>
                <w:szCs w:val="16"/>
              </w:rPr>
              <w:t xml:space="preserve">R-8</w:t>
            </w:r>
          </w:p>
        </w:tc>
        <w:tc>
          <w:tcPr>
            <w:tcW w:type="dxa" w:w="3200"/>
            <w:shd w:fill="F5F7FA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Reproduction threshold, sample size, probe design</w:t>
            </w:r>
          </w:p>
        </w:tc>
        <w:tc>
          <w:tcPr>
            <w:tcW w:type="dxa" w:w="1500"/>
            <w:shd w:fill="F5F7FA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8A6D1A"/>
                <w:sz w:val="16"/>
                <w:szCs w:val="16"/>
              </w:rPr>
              <w:t xml:space="preserve">Recommended default</w:t>
            </w:r>
          </w:p>
        </w:tc>
        <w:tc>
          <w:tcPr>
            <w:tcW w:type="dxa" w:w="3660"/>
            <w:shd w:fill="F5F7FA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Baseline-period approach — conservative default, revised from observed evidence, same pattern as the Watch's own five deferred values. Don't hand-pick a number now.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6"/>
                <w:szCs w:val="16"/>
              </w:rPr>
              <w:t xml:space="preserve">R-9</w:t>
            </w:r>
          </w:p>
        </w:tc>
        <w:tc>
          <w:tcPr>
            <w:tcW w:type="dxa" w:w="320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Per-run differential-privacy parameter (ε, δ)</w:t>
            </w:r>
          </w:p>
        </w:tc>
        <w:tc>
          <w:tcPr>
            <w:tcW w:type="dxa" w:w="150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8A6D1A"/>
                <w:sz w:val="16"/>
                <w:szCs w:val="16"/>
              </w:rPr>
              <w:t xml:space="preserve">Recommended default</w:t>
            </w:r>
          </w:p>
        </w:tc>
        <w:tc>
          <w:tcPr>
            <w:tcW w:type="dxa" w:w="366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Baseline-period approach, as R-8.</w:t>
            </w:r>
          </w:p>
        </w:tc>
      </w:tr>
      <w:tr>
        <w:trPr>
          <w:tblHeader w:val="false"/>
        </w:trPr>
        <w:tc>
          <w:tcPr>
            <w:tcW w:type="dxa" w:w="1000"/>
            <w:shd w:fill="F5F7FA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6"/>
                <w:szCs w:val="16"/>
              </w:rPr>
              <w:t xml:space="preserve">R-10</w:t>
            </w:r>
          </w:p>
        </w:tc>
        <w:tc>
          <w:tcPr>
            <w:tcW w:type="dxa" w:w="3200"/>
            <w:shd w:fill="F5F7FA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Recommendation window (A5.16)</w:t>
            </w:r>
          </w:p>
        </w:tc>
        <w:tc>
          <w:tcPr>
            <w:tcW w:type="dxa" w:w="1500"/>
            <w:shd w:fill="F5F7FA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8A6D1A"/>
                <w:sz w:val="16"/>
                <w:szCs w:val="16"/>
              </w:rPr>
              <w:t xml:space="preserve">Recommended default</w:t>
            </w:r>
          </w:p>
        </w:tc>
        <w:tc>
          <w:tcPr>
            <w:tcW w:type="dxa" w:w="3660"/>
            <w:shd w:fill="F5F7FA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24 hours.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6"/>
                <w:szCs w:val="16"/>
              </w:rPr>
              <w:t xml:space="preserve">R-11</w:t>
            </w:r>
          </w:p>
        </w:tc>
        <w:tc>
          <w:tcPr>
            <w:tcW w:type="dxa" w:w="320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Coordination-signature threshold</w:t>
            </w:r>
          </w:p>
        </w:tc>
        <w:tc>
          <w:tcPr>
            <w:tcW w:type="dxa" w:w="150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8A6D1A"/>
                <w:sz w:val="16"/>
                <w:szCs w:val="16"/>
              </w:rPr>
              <w:t xml:space="preserve">Recommended default</w:t>
            </w:r>
          </w:p>
        </w:tc>
        <w:tc>
          <w:tcPr>
            <w:tcW w:type="dxa" w:w="366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Baseline-period approach, as R-8.</w:t>
            </w:r>
          </w:p>
        </w:tc>
      </w:tr>
    </w:tbl>
    <w:p>
      <w:pPr>
        <w:pStyle w:val="Heading1"/>
        <w:pBdr>
          <w:bottom w:val="single" w:color="D7DEE8" w:sz="6" w:space="6"/>
        </w:pBdr>
        <w:spacing w:after="130" w:before="300"/>
      </w:pPr>
      <w:r>
        <w:rPr>
          <w:rFonts w:ascii="Cambria" w:cs="Cambria" w:eastAsia="Cambria" w:hAnsi="Cambria"/>
          <w:b/>
          <w:bCs/>
          <w:color w:val="12294E"/>
          <w:sz w:val="24"/>
          <w:szCs w:val="24"/>
        </w:rPr>
        <w:t xml:space="preserve">5   Pruning &amp; Unlearning Amendment</w:t>
      </w:r>
    </w:p>
    <w:tbl>
      <w:tblPr>
        <w:tblW w:type="dxa" w:w="9360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single" w:color="D7DEE8" w:sz="4"/>
          <w:insideV w:val="single" w:color="D7DEE8" w:sz="4"/>
        </w:tblBorders>
      </w:tblPr>
      <w:tblGrid>
        <w:gridCol w:w="1000"/>
        <w:gridCol w:w="3200"/>
        <w:gridCol w:w="1500"/>
        <w:gridCol w:w="3660"/>
      </w:tblGrid>
      <w:tr>
        <w:trPr>
          <w:tblHeader/>
        </w:trPr>
        <w:tc>
          <w:tcPr>
            <w:tcW w:type="dxa" w:w="1000"/>
            <w:shd w:fill="12294E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3200"/>
            <w:shd w:fill="12294E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Question</w:t>
            </w:r>
          </w:p>
        </w:tc>
        <w:tc>
          <w:tcPr>
            <w:tcW w:type="dxa" w:w="1500"/>
            <w:shd w:fill="12294E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3660"/>
            <w:shd w:fill="12294E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Direction / Recommendation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6"/>
                <w:szCs w:val="16"/>
              </w:rPr>
              <w:t xml:space="preserve">R-12</w:t>
            </w:r>
          </w:p>
        </w:tc>
        <w:tc>
          <w:tcPr>
            <w:tcW w:type="dxa" w:w="320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Mandatory re-derivation, or recall sufficient, when unsharded</w:t>
            </w:r>
          </w:p>
        </w:tc>
        <w:tc>
          <w:tcPr>
            <w:tcW w:type="dxa" w:w="150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8A6D1A"/>
                <w:sz w:val="16"/>
                <w:szCs w:val="16"/>
              </w:rPr>
              <w:t xml:space="preserve">Recommended default</w:t>
            </w:r>
          </w:p>
        </w:tc>
        <w:tc>
          <w:tcPr>
            <w:tcW w:type="dxa" w:w="366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Re-derivation is default. Recall requires explicit, case-by-case Owner sign-off documenting why re-derivation was uneconomic — keeps the stronger protection as the norm.</w:t>
            </w:r>
          </w:p>
        </w:tc>
      </w:tr>
    </w:tbl>
    <w:p>
      <w:pPr>
        <w:pStyle w:val="Heading1"/>
        <w:pBdr>
          <w:bottom w:val="single" w:color="D7DEE8" w:sz="6" w:space="6"/>
        </w:pBdr>
        <w:spacing w:after="130" w:before="300"/>
      </w:pPr>
      <w:r>
        <w:rPr>
          <w:rFonts w:ascii="Cambria" w:cs="Cambria" w:eastAsia="Cambria" w:hAnsi="Cambria"/>
          <w:b/>
          <w:bCs/>
          <w:color w:val="12294E"/>
          <w:sz w:val="24"/>
          <w:szCs w:val="24"/>
        </w:rPr>
        <w:t xml:space="preserve">6   agent_containment_spec_v1</w:t>
      </w:r>
    </w:p>
    <w:tbl>
      <w:tblPr>
        <w:tblW w:type="dxa" w:w="9360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single" w:color="D7DEE8" w:sz="4"/>
          <w:insideV w:val="single" w:color="D7DEE8" w:sz="4"/>
        </w:tblBorders>
      </w:tblPr>
      <w:tblGrid>
        <w:gridCol w:w="1000"/>
        <w:gridCol w:w="3200"/>
        <w:gridCol w:w="1500"/>
        <w:gridCol w:w="3660"/>
      </w:tblGrid>
      <w:tr>
        <w:trPr>
          <w:tblHeader/>
        </w:trPr>
        <w:tc>
          <w:tcPr>
            <w:tcW w:type="dxa" w:w="1000"/>
            <w:shd w:fill="12294E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3200"/>
            <w:shd w:fill="12294E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Question</w:t>
            </w:r>
          </w:p>
        </w:tc>
        <w:tc>
          <w:tcPr>
            <w:tcW w:type="dxa" w:w="1500"/>
            <w:shd w:fill="12294E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3660"/>
            <w:shd w:fill="12294E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Direction / Recommendation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6"/>
                <w:szCs w:val="16"/>
              </w:rPr>
              <w:t xml:space="preserve">R-1</w:t>
            </w:r>
          </w:p>
        </w:tc>
        <w:tc>
          <w:tcPr>
            <w:tcW w:type="dxa" w:w="320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Capability-ceiling list (AC-1)</w:t>
            </w:r>
          </w:p>
        </w:tc>
        <w:tc>
          <w:tcPr>
            <w:tcW w:type="dxa" w:w="150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8A6D1A"/>
                <w:sz w:val="16"/>
                <w:szCs w:val="16"/>
              </w:rPr>
              <w:t xml:space="preserve">Recommended default</w:t>
            </w:r>
          </w:p>
        </w:tc>
        <w:tc>
          <w:tcPr>
            <w:tcW w:type="dxa" w:w="366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Ratify as proposed — traces directly to instrumental convergence (Omohundro 2008, Bostrom 2012), not an arbitrary list.</w:t>
            </w:r>
          </w:p>
        </w:tc>
      </w:tr>
      <w:tr>
        <w:trPr>
          <w:tblHeader w:val="false"/>
        </w:trPr>
        <w:tc>
          <w:tcPr>
            <w:tcW w:type="dxa" w:w="1000"/>
            <w:shd w:fill="F5F7FA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6"/>
                <w:szCs w:val="16"/>
              </w:rPr>
              <w:t xml:space="preserve">R-2</w:t>
            </w:r>
          </w:p>
        </w:tc>
        <w:tc>
          <w:tcPr>
            <w:tcW w:type="dxa" w:w="3200"/>
            <w:shd w:fill="F5F7FA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Independent scope-ratifying authority (AC-2)</w:t>
            </w:r>
          </w:p>
        </w:tc>
        <w:tc>
          <w:tcPr>
            <w:tcW w:type="dxa" w:w="1500"/>
            <w:shd w:fill="F5F7FA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8A6D1A"/>
                <w:sz w:val="16"/>
                <w:szCs w:val="16"/>
              </w:rPr>
              <w:t xml:space="preserve">Recommended default</w:t>
            </w:r>
          </w:p>
        </w:tc>
        <w:tc>
          <w:tcPr>
            <w:tcW w:type="dxa" w:w="3660"/>
            <w:shd w:fill="F5F7FA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Syni.ai holds this role for early deployments — the lab never grades its own exam. Also a sellable positioning point.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6"/>
                <w:szCs w:val="16"/>
              </w:rPr>
              <w:t xml:space="preserve">R-3</w:t>
            </w:r>
          </w:p>
        </w:tc>
        <w:tc>
          <w:tcPr>
            <w:tcW w:type="dxa" w:w="320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Sample rate, observation window</w:t>
            </w:r>
          </w:p>
        </w:tc>
        <w:tc>
          <w:tcPr>
            <w:tcW w:type="dxa" w:w="150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8A6D1A"/>
                <w:sz w:val="16"/>
                <w:szCs w:val="16"/>
              </w:rPr>
              <w:t xml:space="preserve">Recommended default</w:t>
            </w:r>
          </w:p>
        </w:tc>
        <w:tc>
          <w:tcPr>
            <w:tcW w:type="dxa" w:w="366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Baseline-period approach, as R-8 above.</w:t>
            </w:r>
          </w:p>
        </w:tc>
      </w:tr>
    </w:tbl>
    <w:p>
      <w:pPr>
        <w:pStyle w:val="Heading1"/>
        <w:pBdr>
          <w:bottom w:val="single" w:color="D7DEE8" w:sz="6" w:space="6"/>
        </w:pBdr>
        <w:spacing w:after="130" w:before="300"/>
      </w:pPr>
      <w:r>
        <w:rPr>
          <w:rFonts w:ascii="Cambria" w:cs="Cambria" w:eastAsia="Cambria" w:hAnsi="Cambria"/>
          <w:b/>
          <w:bCs/>
          <w:color w:val="12294E"/>
          <w:sz w:val="24"/>
          <w:szCs w:val="24"/>
        </w:rPr>
        <w:t xml:space="preserve">7   Dependency Order</w:t>
      </w:r>
    </w:p>
    <w:p>
      <w:pPr>
        <w:spacing w:after="130" w:line="270"/>
      </w:pPr>
      <w:r>
        <w:rPr>
          <w:rFonts w:ascii="Calibri" w:cs="Calibri" w:eastAsia="Calibri" w:hAnsi="Calibri"/>
          <w:sz w:val="19"/>
          <w:szCs w:val="19"/>
        </w:rPr>
        <w:t xml:space="preserve">Three items should not be ratified independently of what they depend on:</w:t>
      </w:r>
    </w:p>
    <w:tbl>
      <w:tblPr>
        <w:tblW w:type="dxa" w:w="9160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single" w:color="D7DEE8" w:sz="4"/>
          <w:insideV w:val="single" w:color="D7DEE8" w:sz="4"/>
        </w:tblBorders>
      </w:tblPr>
      <w:tblGrid>
        <w:gridCol w:w="1400"/>
        <w:gridCol w:w="7760"/>
      </w:tblGrid>
      <w:tr>
        <w:trPr>
          <w:tblHeader/>
        </w:trPr>
        <w:tc>
          <w:tcPr>
            <w:tcW w:type="dxa" w:w="1400"/>
            <w:shd w:fill="12294E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Rule this first</w:t>
            </w:r>
          </w:p>
        </w:tc>
        <w:tc>
          <w:tcPr>
            <w:tcW w:type="dxa" w:w="7760"/>
            <w:shd w:fill="12294E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Because it gates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6"/>
                <w:szCs w:val="16"/>
              </w:rPr>
              <w:t xml:space="preserve">Security Amendments R-7 (estate release budget)</w:t>
            </w:r>
          </w:p>
        </w:tc>
        <w:tc>
          <w:tcPr>
            <w:tcW w:type="dxa" w:w="776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DAP R-3 (per-party ceilings) is an allocation against it, not a separate number.</w:t>
            </w:r>
          </w:p>
        </w:tc>
      </w:tr>
      <w:tr>
        <w:trPr>
          <w:tblHeader w:val="false"/>
        </w:trPr>
        <w:tc>
          <w:tcPr>
            <w:tcW w:type="dxa" w:w="1400"/>
            <w:shd w:fill="F5F7FA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12294E"/>
                <w:sz w:val="16"/>
                <w:szCs w:val="16"/>
              </w:rPr>
              <w:t xml:space="preserve">Document 0 R-1, R-3, R-5</w:t>
            </w:r>
          </w:p>
        </w:tc>
        <w:tc>
          <w:tcPr>
            <w:tcW w:type="dxa" w:w="7760"/>
            <w:shd w:fill="F5F7FA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All three already resolved by later documents — sign-off only, no live dependency, listed here for completeness.</w:t>
            </w:r>
          </w:p>
        </w:tc>
      </w:tr>
    </w:tbl>
    <w:p>
      <w:pPr>
        <w:pStyle w:val="Heading1"/>
        <w:pBdr>
          <w:bottom w:val="single" w:color="D7DEE8" w:sz="6" w:space="6"/>
        </w:pBdr>
        <w:spacing w:after="130" w:before="300"/>
      </w:pPr>
      <w:r>
        <w:rPr>
          <w:rFonts w:ascii="Cambria" w:cs="Cambria" w:eastAsia="Cambria" w:hAnsi="Cambria"/>
          <w:b/>
          <w:bCs/>
          <w:color w:val="12294E"/>
          <w:sz w:val="24"/>
          <w:szCs w:val="24"/>
        </w:rPr>
        <w:t xml:space="preserve">8   Sign-Off</w:t>
      </w:r>
    </w:p>
    <w:tbl>
      <w:tblPr>
        <w:tblW w:type="dxa" w:w="8960"/>
        <w:tblBorders>
          <w:top w:val="single" w:color="D7DEE8" w:sz="4"/>
          <w:left w:val="single" w:color="D7DEE8" w:sz="4"/>
          <w:bottom w:val="single" w:color="D7DEE8" w:sz="4"/>
          <w:right w:val="single" w:color="D7DEE8" w:sz="4"/>
          <w:insideH w:val="single" w:color="D7DEE8" w:sz="4"/>
          <w:insideV w:val="single" w:color="D7DEE8" w:sz="4"/>
        </w:tblBorders>
      </w:tblPr>
      <w:tblGrid>
        <w:gridCol w:w="2400"/>
        <w:gridCol w:w="3300"/>
        <w:gridCol w:w="3260"/>
      </w:tblGrid>
      <w:tr>
        <w:trPr>
          <w:tblHeader/>
        </w:trPr>
        <w:tc>
          <w:tcPr>
            <w:tcW w:type="dxa" w:w="2400"/>
            <w:shd w:fill="12294E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Section</w:t>
            </w:r>
          </w:p>
        </w:tc>
        <w:tc>
          <w:tcPr>
            <w:tcW w:type="dxa" w:w="3300"/>
            <w:shd w:fill="12294E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Ratified by</w:t>
            </w:r>
          </w:p>
        </w:tc>
        <w:tc>
          <w:tcPr>
            <w:tcW w:type="dxa" w:w="3260"/>
            <w:shd w:fill="12294E" w:val="clear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1 — Document 0</w:t>
            </w:r>
          </w:p>
        </w:tc>
        <w:tc>
          <w:tcPr>
            <w:tcW w:type="dxa" w:w="330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26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2 — Rules Service</w:t>
            </w:r>
          </w:p>
        </w:tc>
        <w:tc>
          <w:tcPr>
            <w:tcW w:type="dxa" w:w="330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26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3 — DAP</w:t>
            </w:r>
          </w:p>
        </w:tc>
        <w:tc>
          <w:tcPr>
            <w:tcW w:type="dxa" w:w="330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26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4 — Security Amendments</w:t>
            </w:r>
          </w:p>
        </w:tc>
        <w:tc>
          <w:tcPr>
            <w:tcW w:type="dxa" w:w="330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26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5 — Pruning &amp; Unlearning</w:t>
            </w:r>
          </w:p>
        </w:tc>
        <w:tc>
          <w:tcPr>
            <w:tcW w:type="dxa" w:w="330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26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>6 — Agent Containment</w:t>
            </w:r>
          </w:p>
        </w:tc>
        <w:tc>
          <w:tcPr>
            <w:tcW w:type="dxa" w:w="330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  <w:tc>
          <w:tcPr>
            <w:tcW w:type="dxa" w:w="3260"/>
            <w:tcMar>
              <w:top w:type="dxa" w:w="65"/>
              <w:left w:type="dxa" w:w="90"/>
              <w:bottom w:type="dxa" w:w="65"/>
              <w:right w:type="dxa" w:w="90"/>
            </w:tcMar>
            <w:vAlign w:val="center"/>
          </w:tcPr>
          <w:p>
            <w:pPr>
              <w:spacing w:after="0" w:line="236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6"/>
                <w:szCs w:val="16"/>
              </w:rPr>
              <w:t xml:space="preserve"/>
            </w:r>
          </w:p>
        </w:tc>
      </w:tr>
    </w:tbl>
    <w:p>
      <w:pPr>
        <w:pBdr>
          <w:left w:val="single" w:color="8A6D1A" w:sz="12" w:space="6"/>
        </w:pBdr>
        <w:shd w:fill="FBF6E6" w:val="clear"/>
        <w:spacing w:after="130" w:before="80"/>
        <w:ind w:left="100" w:right="100"/>
      </w:pPr>
      <w:r>
        <w:rPr>
          <w:rFonts w:ascii="Calibri" w:cs="Calibri" w:eastAsia="Calibri" w:hAnsi="Calibri"/>
          <w:i/>
          <w:iCs/>
          <w:color w:val="5A4A10"/>
          <w:sz w:val="18"/>
          <w:szCs w:val="18"/>
        </w:rPr>
        <w:t xml:space="preserve">A section's sign-off ratifies every row within it at the stated status — resolved rows as confirmed, recommended rows as accepted defaults unless annotated otherwise, owner-input rows as still open until a value is written in. Partial ratification (accepting some rows in a section, not others) should be noted directly on this record rather than assumed from a blank signature.</w:t>
      </w:r>
    </w:p>
    <w:sectPr>
      <w:footerReference w:type="default" r:id="rId7"/>
      <w:pgSz w:w="12240" w:h="15840" w:orient="portrait"/>
      <w:pgMar w:top="950" w:right="1050" w:bottom="95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7DEE8" w:sz="4" w:space="4"/>
      </w:pBdr>
      <w:jc w:val="center"/>
    </w:pPr>
    <w:r>
      <w:rPr>
        <w:rFonts w:ascii="Calibri" w:cs="Calibri" w:eastAsia="Calibri" w:hAnsi="Calibri"/>
        <w:i/>
        <w:iCs/>
        <w:color w:val="55606E"/>
        <w:sz w:val="13"/>
        <w:szCs w:val="13"/>
      </w:rPr>
      <w:t xml:space="preserve">Ratification Record · ratification_record_v1 · 9 September 2026 · Commercial-in-confidence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2026-09-09T11:13:48.848Z</dcterms:created>
  <dcterms:modified xsi:type="dcterms:W3CDTF">2026-09-09T11:13:48.848Z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