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mbria" w:hAnsi="Cambria"/>
          <w:color w:val="1F2A44"/>
          <w:sz w:val="48"/>
        </w:rPr>
        <w:t>Savings lie in object stores, not databases; products wait on rights</w:t>
      </w:r>
    </w:p>
    <w:p>
      <w:pPr>
        <w:spacing w:after="200"/>
      </w:pPr>
      <w:r>
        <w:rPr>
          <w:i w:val="0"/>
          <w:color w:val="8A94A6"/>
          <w:sz w:val="17"/>
        </w:rPr>
        <w:t>Cost-reduction and data-product choices from the RMS estate census, tenant confidential  ·  RMS</w:t>
      </w:r>
    </w:p>
    <w:p>
      <w:pPr>
        <w:pStyle w:val="Heading1"/>
      </w:pPr>
      <w:r>
        <w:t>Summary</w:t>
      </w:r>
    </w:p>
    <w:p>
      <w:r>
        <w:t>The census read 20 holding 1006, of which 638 were measured, giving coverage of 63.4%. The estate holds 351.3 of data and index, concentrated in a single staging database. Cost savings inside databases are modest: 15.2, or 4.3% of bytes, looks reclaimable before pricing.</w:t>
      </w:r>
    </w:p>
    <w:p>
      <w:r>
        <w:t>The larger opportunity lies in object and file stores, where all cost strategies together address 50,799.8 GiB and carry a priced monthly saving of 1,174.4 USD at reference list prices. These are estimates, and every action is proposal-only; none is authorised.</w:t>
      </w:r>
    </w:p>
    <w:p>
      <w:r>
        <w:t>Data-product candidates, 8 in all, are held back by weak quality and personal-data exposure, and their rights are declared but not measured. We recommend taking forward the two object-store strategies after verification, deferring the small database measures, and keeping every product at specification stage.</w:t>
      </w:r>
    </w:p>
    <w:p>
      <w:pPr>
        <w:pStyle w:val="Heading1"/>
      </w:pPr>
      <w:r>
        <w:t>Bytes are concentrated in one staging database</w:t>
      </w:r>
    </w:p>
    <w:p>
      <w:r>
        <w:t>The exhibit shows data and index by database. viusasa_staging stands far above every other database, and the largest databases together hold 350.3 GiB, a share of 99.7% of the estate's 351.3.</w:t>
      </w:r>
    </w:p>
    <w:p>
      <w:r>
        <w:t>For the owner, this means database cost work is a question about one environment. Whether that staging data is still needed is an ownership question the census cannot answer.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8A94A6"/>
          <w:sz w:val="17"/>
        </w:rPr>
        <w:t>Figure: Database cost effort should concentrate on viusasa_staging, because the largest databases hold 99.7% of the estate's bytes.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[measured]  Receipt R01: Estate intelligence census eij-1b359b3cbd2e, digest-verified report (measured 2026-09-29), headline aggregates and per-database measures</w:t>
      </w:r>
    </w:p>
    <w:p>
      <w:pPr>
        <w:pStyle w:val="Heading1"/>
      </w:pPr>
      <w:r>
        <w:t>Quality and exposure are the main constraint</w:t>
      </w:r>
    </w:p>
    <w:p>
      <w:r>
        <w:t>Exact duplicates are low at 1.5% of rows, but degraded rows are 23.0% and rows with empty required-looking fields are 81.7%. Personal-data markers appear in 71.8% of sampled rows, and 15.4% of bytes have not been written for over a year.</w:t>
      </w:r>
    </w:p>
    <w:p>
      <w:r>
        <w:t>These are estimates from complete passes where tables allowed and stratified samples elsewhere. They indicate that cleansing, not de-duplication, is the main work before any product can be built.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8A94A6"/>
          <w:sz w:val="17"/>
        </w:rPr>
        <w:t>Figure: Quality and personal-data exposure, not duplication, constrain any product; exact duplicates are only 1.5% of rows.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[estimated]  Receipt R01: Estate intelligence census eij-1b359b3cbd2e, digest-verified report (measured 2026-09-29), headline aggregates and per-database measures</w:t>
      </w:r>
    </w:p>
    <w:p>
      <w:pPr>
        <w:pStyle w:val="Heading1"/>
      </w:pPr>
      <w:r>
        <w:t>Reclaimable bytes sit almost entirely in object stores</w:t>
      </w:r>
    </w:p>
    <w:p>
      <w:r>
        <w:t>Moving buckets not written for over a year and reconciling duplicate objects address most of the reclaimable bytes. Together with database cold storage, the three largest strategies address 100.0% of the 50,799.8 GiB reached by all strategies.</w:t>
      </w:r>
    </w:p>
    <w:p>
      <w:r>
        <w:t>Reclaimable bytes are not realised savings. Last write is the newest object timestamp in a listing, read frequency was not measured, and duplicate candidates share a size and an identifying label, which for multipart uploads is not a content hash.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8A94A6"/>
          <w:sz w:val="17"/>
        </w:rPr>
        <w:t>Figure: The three largest strategies address 100.0% of the 50,799.8 GiB reached by all strategies; database-only measures are small beside the object stores.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[estimated]  Receipt R02: Estate intelligence census eij-1b359b3cbd2e, cost_strategies priced at reference list prices, not the owner's invoice: Huawei Cloud RDS for MySQL cloud SSD AF-Johannesburg 0.00015 USD/GB-hour x 730 h; OBS Standard 0.023 USD/GB-month</w:t>
      </w:r>
    </w:p>
    <w:p>
      <w:pPr>
        <w:pStyle w:val="Heading1"/>
      </w:pPr>
      <w:r>
        <w:t>Estate size and measurement coverage</w:t>
      </w:r>
    </w:p>
    <w:p>
      <w:r>
        <w:t>The estate holds 351.3 across 1006, with 638 measured. Database-level reclaim of 15.2 is small, and 368 are empty by row estimate. Staleness was read from timestamp columns, so tables without them may be missed.</w:t>
      </w:r>
    </w:p>
    <w:p>
      <w:pPr>
        <w:pStyle w:val="Heading1"/>
      </w:pPr>
      <w:r>
        <w:t>Condition of the measured rows</w:t>
      </w:r>
    </w:p>
    <w:p>
      <w:r>
        <w:t>Degraded rows (23.0%) and rows with empty required-looking fields (81.7%) are widespread, while exact duplicates are only 1.5%. Personal-data markers in 71.8% of sampled rows mean any external use needs de-identification or aggregation first.</w:t>
      </w:r>
    </w:p>
    <w:p>
      <w:pPr>
        <w:pStyle w:val="Heading1"/>
      </w:pPr>
      <w:r>
        <w:t>Staleness, duplication and sampling</w:t>
      </w:r>
    </w:p>
    <w:p>
      <w:r>
        <w:t>The marker rate rests on 1.0m sampled rows. Bytes not written for over a year are 15.4% of the total, and 71 of duplicate table pairs were found. Copies may be deliberate, so ownership must be confirmed before any retirement.</w:t>
      </w:r>
    </w:p>
    <w:p>
      <w:pPr>
        <w:pStyle w:val="Heading1"/>
      </w:pPr>
      <w:r>
        <w:t>Three priced strategies compared</w:t>
      </w:r>
    </w:p>
    <w:p>
      <w:r>
        <w:t>The archive-class move addresses 42,891.0 GiB for 986.5 USD a month. Duplicate-object reconciliation addresses 7,839.5 GiB for 180.3 USD. Database cold storage addresses 54.1 GiB for 5.9 USD.</w:t>
      </w:r>
    </w:p>
    <w:p>
      <w:r>
        <w:t>All three are priced at reference list prices, not the owner's invoice, and archive-class retrieval carries its own fee. The comparison shows scale and conditions; it does not by itself settle the choice.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Move buckets not written for over a year to archive-class st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Reconcile duplicate objects across OBS buckets</w:t>
            </w:r>
          </w:p>
        </w:tc>
        <w:tc>
          <w:tcPr>
            <w:tcW w:type="dxa" w:w="2353"/>
            <w:shd w:val="clear" w:color="auto" w:fill="E9ECF1"/>
          </w:tcPr>
          <w:p>
            <w:r/>
            <w:r>
              <w:rPr>
                <w:b/>
                <w:sz w:val="19"/>
              </w:rPr>
              <w:t>Move tables not written for over a year to cold storage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Reclaimable gib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42,891.0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7,839.5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54.1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9"/>
              </w:rPr>
              <w:t>Monthly saving usd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986.5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180.3</w:t>
            </w:r>
          </w:p>
        </w:tc>
        <w:tc>
          <w:tcPr>
            <w:tcW w:type="dxa" w:w="2353"/>
          </w:tcPr>
          <w:p>
            <w:pPr>
              <w:jc w:val="right"/>
            </w:pPr>
            <w:r/>
            <w:r>
              <w:rPr>
                <w:rFonts w:ascii="Courier New" w:hAnsi="Courier New"/>
                <w:sz w:val="19"/>
              </w:rPr>
              <w:t>5.9</w:t>
            </w:r>
          </w:p>
        </w:tc>
      </w:tr>
    </w:tbl>
    <w:p>
      <w:pPr>
        <w:spacing w:after="200"/>
      </w:pPr>
      <w:r>
        <w:rPr>
          <w:i/>
          <w:color w:val="8A94A6"/>
          <w:sz w:val="17"/>
        </w:rPr>
        <w:t>The archive-class move offers 986.5 USD a month, duplicate reconciliation 180.3 USD and database cold storage 5.9 USD, all at list prices, not invoices.</w:t>
      </w:r>
    </w:p>
    <w:p>
      <w:pPr>
        <w:spacing w:after="200"/>
      </w:pPr>
      <w:r>
        <w:rPr>
          <w:rFonts w:ascii="Courier New" w:hAnsi="Courier New"/>
          <w:i w:val="0"/>
          <w:color w:val="8A94A6"/>
          <w:sz w:val="17"/>
        </w:rPr>
        <w:t>[estimated]  Receipt R02: Estate intelligence census eij-1b359b3cbd2e, cost_strategies priced at reference list prices, not the owner's invoice: Huawei Cloud RDS for MySQL cloud SSD AF-Johannesburg 0.00015 USD/GB-hour x 730 h; OBS Standard 0.023 USD/GB-month</w:t>
      </w:r>
    </w:p>
    <w:p>
      <w:pPr>
        <w:pStyle w:val="Heading1"/>
      </w:pPr>
      <w:r>
        <w:t>What to do first, and why</w:t>
      </w:r>
    </w:p>
    <w:p>
      <w:r>
        <w:t>Begin with the archive-class move, because it carries the largest saving at 986.5 USD a month; verify read frequency and retrieval fees before any transfer. Next verify duplicate objects by content before deleting, since the 7,839.5 GiB is a size-based estimate.</w:t>
      </w:r>
    </w:p>
    <w:p>
      <w:r>
        <w:t>Defer database cold storage and the smaller database strategies, whose returns are small. Keep all 8 as specifications only until rights are bound to each candidate and personal data is removed or aggregated. Finally, grant read access to artists_app so a re-census can firm up the figures.</w:t>
      </w:r>
    </w:p>
    <w:p>
      <w:pPr>
        <w:pStyle w:val="Heading1"/>
      </w:pPr>
      <w:r>
        <w:t>What cannot yet be said</w:t>
      </w:r>
    </w:p>
    <w:p>
      <w:r>
        <w:t>Sampled ratios, unmeasured rights and licences, the unreadable artists_app connection, unmeasured file-share duplication and unreachable buckets all limit confidence. Only 638 of 1006 were measured. Each gap can be closed: a complete-pass census, rights bound to each candidate, a read grant, a fingerprinting pass and a bucket inventory reconciled with the provider.</w:t>
      </w:r>
    </w:p>
    <w:p>
      <w:r>
        <w:t>Savings are estimates at list prices, not realised returns, and the candidates are not qualified datasets or permission for training. Nothing in this pack authorises execution.</w:t>
      </w:r>
    </w:p>
    <w:p>
      <w:pPr>
        <w:pStyle w:val="Heading1"/>
      </w:pPr>
      <w:r>
        <w:t>Coverage and limits</w:t>
      </w:r>
    </w:p>
    <w:p>
      <w:r>
        <w:t>Covers: 20 databases, 1,006 tables and 351.3 GiB measured by census eij-1b359b3cbd2e; ratios are complete-pass where the table allowed it and stratified samples elsewhere. No row value is present in this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Cannot say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Why</w:t>
            </w:r>
          </w:p>
        </w:tc>
        <w:tc>
          <w:tcPr>
            <w:tcW w:type="dxa" w:w="3137"/>
            <w:shd w:val="clear" w:color="auto" w:fill="E9ECF1"/>
          </w:tcPr>
          <w:p>
            <w:r/>
            <w:r>
              <w:rPr>
                <w:b/>
                <w:sz w:val="19"/>
              </w:rPr>
              <w:t>What would close 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Duplicate, damage, empty-field and PII ratios on sampled tables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complete passes where the table allowed it, stratified samples elsewhere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 complete-pass census on the sampled tables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Rights, licences and semantic similarity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not measured; candidates are dimensional readiness only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rights declared at Connect and bound to each candidate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Connection artists_app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could not be read (MySQL GRANT pending)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owner grants read access; re-census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NAS duplication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the enumeration recorded sizes and dates, not content fingerprints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a fingerprinting pass over the NAS shares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9"/>
              </w:rPr>
              <w:t>40 of 106 OBS buckets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unreachable (NoSuchBucket / client errors)</w:t>
            </w:r>
          </w:p>
        </w:tc>
        <w:tc>
          <w:tcPr>
            <w:tcW w:type="dxa" w:w="3137"/>
          </w:tcPr>
          <w:p>
            <w:r/>
            <w:r>
              <w:rPr>
                <w:sz w:val="19"/>
              </w:rPr>
              <w:t>bucket inventory reconciled with the provider</w:t>
            </w:r>
          </w:p>
        </w:tc>
      </w:tr>
    </w:tbl>
    <w:p>
      <w:pPr>
        <w:pStyle w:val="Heading1"/>
      </w:pPr>
      <w:r>
        <w:t>Appendix: receipts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Receipt</w:t>
            </w:r>
          </w:p>
        </w:tc>
        <w:tc>
          <w:tcPr>
            <w:tcW w:type="dxa" w:w="4706"/>
            <w:shd w:val="clear" w:color="auto" w:fill="E9ECF1"/>
          </w:tcPr>
          <w:p>
            <w:r/>
            <w:r>
              <w:rPr>
                <w:b/>
                <w:sz w:val="19"/>
              </w:rPr>
              <w:t>Resolves to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R01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Estate intelligence census eij-1b359b3cbd2e, digest-verified report (measured 2026-09-29), headline aggregates and per-database measures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R02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Estate intelligence census eij-1b359b3cbd2e, cost_strategies priced at reference list prices, not the owner's invoice: Huawei Cloud RDS for MySQL cloud SSD AF-Johannesburg 0.00015 USD/GB-hour x 730 h; OBS Standard 0.023 USD/GB-month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R03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Estate intelligence census eij-1b359b3cbd2e, data_products readiness scoring (dimensions, grades, blockers)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R04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OBS bucket enumeration census run cr-f1415e395361 (22,975,591 objects, 130.3 TiB)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9"/>
              </w:rPr>
              <w:t>R05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NAS share enumeration census run cr-cf4eef79995b (1,456,787 files, 43.6 TiB)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A94A6"/>
        <w:sz w:val="16"/>
      </w:rPr>
      <w:t xml:space="preserve">EI-eij-1b359b3cbd2e   ·   Tenant confidential   ·   page </w:t>
    </w:r>
    <w:r>
      <w:rPr>
        <w:color w:val="8A94A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 w:val="0"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Savings lie in object stores, not databases; products wait on rights</dc:title>
  <dc:subject/>
  <dc:creator>doc-studio</dc:creator>
  <cp:keywords/>
  <dc:description>generated by python-docx</dc:description>
  <cp:lastModifiedBy>doc-studio</cp:lastModifiedBy>
  <cp:revision>1</cp:revision>
  <dcterms:created xsi:type="dcterms:W3CDTF">2026-10-02T05:53:40Z</dcterms:created>
  <dcterms:modified xsi:type="dcterms:W3CDTF">2026-10-02T05:53:40Z</dcterms:modified>
  <cp:category/>
</cp:coreProperties>
</file>