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600"/>
        <w:jc w:val="center"/>
      </w:pPr>
      <w:r>
        <w:t xml:space="preserve">AKKI OS</w:t>
      </w:r>
    </w:p>
    <w:p>
      <w:pPr>
        <w:spacing w:after="60"/>
        <w:jc w:val="center"/>
      </w:pPr>
      <w:r>
        <w:rPr>
          <w:b/>
          <w:bCs/>
          <w:color w:val="1F2933"/>
          <w:sz w:val="32"/>
          <w:szCs w:val="32"/>
        </w:rPr>
        <w:t xml:space="preserve">DECK RENDERING ENGINE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Technical Specification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Version 1.0 · 2026-08-02</w:t>
      </w:r>
    </w:p>
    <w:p>
      <w:pPr>
        <w:spacing w:after="40"/>
        <w:jc w:val="center"/>
      </w:pPr>
      <w:r>
        <w:rPr>
          <w:color w:val="777777"/>
          <w:sz w:val="18"/>
          <w:szCs w:val="18"/>
        </w:rPr>
        <w:t xml:space="preserve">Builder-facing engineering spec — deterministic, token-bound rendering of</w:t>
      </w:r>
    </w:p>
    <w:p>
      <w:pPr>
        <w:spacing w:after="800"/>
        <w:jc w:val="center"/>
      </w:pPr>
      <w:r>
        <w:rPr>
          <w:color w:val="777777"/>
          <w:sz w:val="18"/>
          <w:szCs w:val="18"/>
        </w:rPr>
        <w:t xml:space="preserve">DeckSpecs. Companion, not merged: the akki-decks skill (SKILL.md) is separate.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240"/>
      </w:pPr>
      <w:r>
        <w:rPr>
          <w:i/>
          <w:iCs/>
          <w:color w:val="888888"/>
          <w:sz w:val="18"/>
          <w:szCs w:val="18"/>
        </w:rPr>
        <w:t xml:space="preserve">Populates automatically when opened in Microsoft Word. If it shows blank: select it and press F9, or right-click → Update Field → Update entire table.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Deck Rendering Engine v1.0</w:t>
      </w:r>
    </w:p>
    <w:p>
      <w:pPr>
        <w:spacing w:after="160" w:line="276"/>
      </w:pPr>
      <w:r>
        <w:rPr>
          <w:sz w:val="21"/>
          <w:szCs w:val="21"/>
        </w:rPr>
        <w:t xml:space="preserve">Deterministic, token-bound rendering of DeckSpecs. Consumes the akki-decks skill (SKILL.md + references/plates-and-registers.md) as its knowledge layer — this document does not restate that content. Economic premise: the LLM writes CONTENT ONLY; the engine does every pixel. Zero LLM tokens on styling, layout, charts, or consistency — measured, not asserted.</w:t>
      </w:r>
    </w:p>
    <w:p>
      <w:pPr>
        <w:pStyle w:val="Heading2"/>
        <w:spacing w:after="120" w:before="280"/>
      </w:pPr>
      <w:r>
        <w:t xml:space="preserve">1 · Architecture (DR-R1–R3)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DR-R1. </w:t>
      </w:r>
      <w:r>
        <w:rPr>
          <w:sz w:val="21"/>
          <w:szCs w:val="21"/>
        </w:rPr>
        <w:t xml:space="preserve">One backend rendering service (extends the transform-forms / artifact-production family; no sibling): input DeckSpec_v0, output a rendered deck artifact. Rendering is a pure function: render(deck_spec, token_set@version, engine@version) → artifact.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DR-R2. Determinism is a contract: </w:t>
      </w:r>
      <w:r>
        <w:rPr>
          <w:sz w:val="21"/>
          <w:szCs w:val="21"/>
        </w:rPr>
        <w:t xml:space="preserve">identical (spec, token version, engine version) MUST produce byte-identical output. The artifact record carries {spec_hash, token_version, engine_version} — every deck is reproducible from its record, and re-rendering is free.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DR-R3. </w:t>
      </w:r>
      <w:r>
        <w:rPr>
          <w:sz w:val="21"/>
          <w:szCs w:val="21"/>
        </w:rPr>
        <w:t xml:space="preserve">Charts render as engine-generated SVG from plate law — no client-side charting runtime in static output (runtime variance breaks DR-R2). The optional live-motion layer is an additive HTML delivery feature, off in all static/exported formats.</w:t>
      </w:r>
    </w:p>
    <w:p>
      <w:pPr>
        <w:pStyle w:val="Heading2"/>
        <w:spacing w:after="120" w:before="280"/>
      </w:pPr>
      <w:r>
        <w:t xml:space="preserve">2 · DeckSpec — the content contract (DR-R4–R5)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DR-R4. </w:t>
      </w:r>
      <w:r>
        <w:rPr>
          <w:sz w:val="21"/>
          <w:szCs w:val="21"/>
        </w:rPr>
        <w:t xml:space="preserve">DeckSpec_v0 — a frozen contract (it crosses the application boundary: the executive app and OS paths both submit it; freeze argued on D4b at Stage A, prior is freeze). Shape: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register: R1|R2|R3|R4|R5,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meta: { title, audience_line, date, rights_posture_ref, sample_deck: bool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selection_manifest: { register_why, overrides[]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slides: [ { type: &lt;slide-type, skill §‘Slide type library’&gt;,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kicker, title,                      // title = assertion, ≤2 lines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plate?: P1..P17,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data?: &lt;plate-specific schema&gt;,      // per-plate schemas in engine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so_what?,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figures: [ { value, unit, class: measured|estimated|sample,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receipt_refs[] }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receipt_refs[],                      // exhibit-level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notes? }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coverage_and_limits: { covered_basis_ref, limits[]: {reason∈refusal-grammar,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statement, closing_condition}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appendix: { exhibit_index_auto: true, extra_slides[] } }</w:t>
            </w:r>
          </w:p>
        </w:tc>
      </w:tr>
    </w:tbl>
    <w:p>
      <w:pPr>
        <w:spacing w:after="160" w:line="276"/>
      </w:pPr>
      <w:r>
        <w:rPr>
          <w:sz w:val="21"/>
          <w:szCs w:val="21"/>
        </w:rPr>
        <w:t xml:space="preserve">Content only. No color, font, size, spacing, or position field exists in the spec — styling is unrepresentable in the input, which is what makes consistency structural rather than reviewed.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DR-R5. Validation is fail-closed with enumerated errors. </w:t>
      </w:r>
      <w:r>
        <w:rPr>
          <w:sz w:val="21"/>
          <w:szCs w:val="21"/>
        </w:rPr>
        <w:t xml:space="preserve">Schema-invalid → reject with {slide_index, rule, message}. Rendering is all-or-nothing: a deck with unrenderable exhibits does not emit a partial artifact; the error set enumerates every violation in one pass.</w:t>
      </w:r>
    </w:p>
    <w:p>
      <w:pPr>
        <w:pStyle w:val="Heading2"/>
        <w:spacing w:after="120" w:before="280"/>
      </w:pPr>
      <w:r>
        <w:t xml:space="preserve">3 · Honesty overlays — engine-enforced (DR-R6–R7)</w:t>
      </w:r>
    </w:p>
    <w:p>
      <w:pPr>
        <w:spacing w:after="160" w:line="276"/>
      </w:pPr>
      <w:r>
        <w:rPr>
          <w:sz w:val="21"/>
          <w:szCs w:val="21"/>
        </w:rPr>
        <w:t xml:space="preserve">DR-R6. The engine, not the author, guarantees: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1"/>
          <w:szCs w:val="21"/>
        </w:rPr>
        <w:t xml:space="preserve">Every figures[].class renders as its chip at the figure. A figure without a class field fails validation.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1"/>
          <w:szCs w:val="21"/>
        </w:rPr>
        <w:t xml:space="preserve">Every exhibit carries its receipt line from receipt_refs; an exhibit with zero resolvable receipts fails validation — the does-not-persist rule executed mechanically. Receipt resolution is checked against the trace service at render time.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1"/>
          <w:szCs w:val="21"/>
        </w:rPr>
        <w:t xml:space="preserve">Unmeasured territory renders hatched with caption: plate data schemas carry explicit unmeasured markers; a null value without the marker fails validation (no silent blanks by construction).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1"/>
          <w:szCs w:val="21"/>
        </w:rPr>
        <w:t xml:space="preserve">sample_deck or per-figure class: sample renders SAMPLE badges; page-level when deck-wide.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1"/>
          <w:szCs w:val="21"/>
        </w:rPr>
        <w:t xml:space="preserve">coverage_and_limits is REQUIRED — a spec without it fails validation (the mandatory slide, enforced at the schema).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1"/>
          <w:szCs w:val="21"/>
        </w:rPr>
        <w:t xml:space="preserve">P11 (one big number) refuses class: estimated at landmark size and auto-applies the demoted rendering (mechanical).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1"/>
          <w:szCs w:val="21"/>
        </w:rPr>
        <w:t xml:space="preserve">Comparison and Harvey-ball plates: any accent/highlight field on a column is rejected (findings-never-selection, made unrepresentable).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DR-R7. Mechanical lint </w:t>
      </w:r>
      <w:r>
        <w:rPr>
          <w:sz w:val="21"/>
          <w:szCs w:val="21"/>
        </w:rPr>
        <w:t xml:space="preserve">(advisory, rendered into the production record, never blocking): title sentence-form check, one-plate-per-slide, ≤2-line title at register scale, body-slide count vs. length discipline, per-register plate-fit warnings. Horizontal logic remains a generation-side + human review property — the engine cannot judge narrative truth and does not pretend to.</w:t>
      </w:r>
    </w:p>
    <w:p>
      <w:pPr>
        <w:pStyle w:val="Heading2"/>
        <w:spacing w:after="120" w:before="280"/>
      </w:pPr>
      <w:r>
        <w:t xml:space="preserve">4 · Tokens, registers, plates (DR-R8–R9)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DR-R8. </w:t>
      </w:r>
      <w:r>
        <w:rPr>
          <w:sz w:val="21"/>
          <w:szCs w:val="21"/>
        </w:rPr>
        <w:t xml:space="preserve">Token sets are versioned artifacts extracted from the frontend file of record, extended per register (status family, ramps, divider motif) and ratified with that work. Registers = token themes + density parameters; plates = pure functions (data, tokens) → SVG/HTML fragments implementing plate law exactly. Engine, templates, and token sets version under E-class; no style constant lives outside a token set.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DR-R9. Delivery: </w:t>
      </w:r>
      <w:r>
        <w:rPr>
          <w:sz w:val="21"/>
          <w:szCs w:val="21"/>
        </w:rPr>
        <w:t xml:space="preserve">HTML is first-class (crisp, immediate, shareable); PDF via the print pipeline from the same HTML (print stylesheet per register — furniture survives export intact by test, DR-R13). PPTX: establish at Stage A whether a faithful mapping of plate law is achievable; if not, PPTX exports as rendered-slide images + notes rather than degrading the law. No format ships that drops chips, receipts, or hatching.</w:t>
      </w:r>
    </w:p>
    <w:p>
      <w:pPr>
        <w:pStyle w:val="Heading2"/>
        <w:spacing w:after="120" w:before="280"/>
      </w:pPr>
      <w:r>
        <w:t xml:space="preserve">5 · Integration (DR-R10–R11)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DR-R10. </w:t>
      </w:r>
      <w:r>
        <w:rPr>
          <w:sz w:val="21"/>
          <w:szCs w:val="21"/>
        </w:rPr>
        <w:t xml:space="preserve">Producers compile content into DeckSpecs: memo-to-deck (memo receipts inherit automatically), commission close → R4 deck, opportunity brief → R1, compliance export → R2, run status → R5. The LLM's whole job per deck is the spec's text and data fields — authored per the akki-decks skill. User plate/register overrides enter selection_manifest.overrides as their recorded act.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DR-R11. </w:t>
      </w:r>
      <w:r>
        <w:rPr>
          <w:sz w:val="21"/>
          <w:szCs w:val="21"/>
        </w:rPr>
        <w:t xml:space="preserve">The harvested pattern is acknowledged and bounded: the token-bound deterministic slide template approach is adopted as a PATTERN (proven by an MIT-licensed reference implementation); the engine is original code implementing OUR plate law. The reference's layout/chart-selection reference files MAY be consulted as authoring references under MIT with attribution in NOTICE; no code vendored without the governed-component pattern.</w:t>
      </w:r>
    </w:p>
    <w:p>
      <w:pPr>
        <w:pStyle w:val="Heading2"/>
        <w:spacing w:after="120" w:before="280"/>
      </w:pPr>
      <w:r>
        <w:t xml:space="preserve">6 · Economics — measured (DR-R12)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DR-R12. </w:t>
      </w:r>
      <w:r>
        <w:rPr>
          <w:sz w:val="21"/>
          <w:szCs w:val="21"/>
        </w:rPr>
        <w:t xml:space="preserve">Metering: tokens-per-deck (spec authoring only) and renders-per-deck land in the Cost Ledger with {deck_id}. The claim “zero LLM tokens on styling” is proven by the meter, not asserted: spec-token count vs. a baseline generated-HTML deck, measured once at E1 of this track and thereafter monitored. Re-renders and register switches cost zero LLM tokens by construction.</w:t>
      </w:r>
    </w:p>
    <w:p>
      <w:pPr>
        <w:pStyle w:val="Heading2"/>
        <w:spacing w:after="120" w:before="280"/>
      </w:pPr>
      <w:r>
        <w:t xml:space="preserve">7 · Gates (DR-R13)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560"/>
      </w:tblGrid>
      <w:tr>
        <w:trPr>
          <w:tblHeader/>
        </w:trPr>
        <w:tc>
          <w:tcPr>
            <w:tcW w:type="dxa" w:w="3500"/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300"/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Break-in?</w:t>
            </w:r>
          </w:p>
        </w:tc>
        <w:tc>
          <w:tcPr>
            <w:tcW w:type="dxa" w:w="4560"/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gate_determinism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 (spec, tokens, engine) twice → byte-identical.</w:t>
            </w:r>
          </w:p>
        </w:tc>
      </w:tr>
      <w:tr>
        <w:tc>
          <w:tcPr>
            <w:tcW w:type="dxa" w:w="3500"/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gate_unreceipted_exhibit_refuses</w:t>
            </w:r>
          </w:p>
        </w:tc>
        <w:tc>
          <w:tcPr>
            <w:tcW w:type="dxa" w:w="1300"/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spec with a non-resolving receipt must fail validation, not render.</w:t>
            </w:r>
          </w:p>
        </w:tc>
      </w:tr>
      <w:tr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gate_missing_class_refuses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figure without a class value must fail validation.</w:t>
            </w:r>
          </w:p>
        </w:tc>
      </w:tr>
      <w:tr>
        <w:tc>
          <w:tcPr>
            <w:tcW w:type="dxa" w:w="3500"/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gate_no_silent_blank</w:t>
            </w:r>
          </w:p>
        </w:tc>
        <w:tc>
          <w:tcPr>
            <w:tcW w:type="dxa" w:w="1300"/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Null-without-unmeasured-marker fails.</w:t>
            </w:r>
          </w:p>
        </w:tc>
      </w:tr>
      <w:tr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gate_coverage_slide_required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spec without coverage_and_limits fails.</w:t>
            </w:r>
          </w:p>
        </w:tc>
      </w:tr>
      <w:tr>
        <w:tc>
          <w:tcPr>
            <w:tcW w:type="dxa" w:w="3500"/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gate_style_unrepresentable</w:t>
            </w:r>
          </w:p>
        </w:tc>
        <w:tc>
          <w:tcPr>
            <w:tcW w:type="dxa" w:w="1300"/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spec smuggling style fields is rejected by schema.</w:t>
            </w:r>
          </w:p>
        </w:tc>
      </w:tr>
      <w:tr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gate_export_furniture_survives</w:t>
            </w:r>
          </w:p>
        </w:tc>
        <w:tc>
          <w:tcPr>
            <w:tcW w:type="dxa" w:w="1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PDF/PPTX retains chips, receipts, hatching, badges.</w:t>
            </w:r>
          </w:p>
        </w:tc>
      </w:tr>
      <w:tr>
        <w:tc>
          <w:tcPr>
            <w:tcW w:type="dxa" w:w="3500"/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gate_register_purity / gate_selection_manifest_recorded</w:t>
            </w:r>
          </w:p>
        </w:tc>
        <w:tc>
          <w:tcPr>
            <w:tcW w:type="dxa" w:w="1300"/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 register per artifact; every pick recorded.</w:t>
            </w:r>
          </w:p>
        </w:tc>
      </w:tr>
    </w:tbl>
    <w:p>
      <w:pPr>
        <w:pStyle w:val="Heading2"/>
        <w:spacing w:after="120" w:before="280"/>
      </w:pPr>
      <w:r>
        <w:t xml:space="preserve">8 · Sequencing and establishment (DR-R14)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DR-R14. </w:t>
      </w:r>
      <w:r>
        <w:rPr>
          <w:sz w:val="21"/>
          <w:szCs w:val="21"/>
        </w:rPr>
        <w:t xml:space="preserve">Backend-only, parallel-safe (the Memory-build pattern): may run beside the current fidelity cycles without touching them. Stage A MUST establish: DeckSpec freeze argument (D4b); overlap with the Analyze acquisition's report_builder when that lands (extend-not-duplicate ruling recorded); receipt-resolution call path from the render service; PPTX feasibility (DR-R9); token extraction dependency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rPr>
          <w:tblHeader/>
        </w:trPr>
        <w:tc>
          <w:tcPr>
            <w:tcW w:type="dxa" w:w="5680"/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 slot</w:t>
            </w:r>
          </w:p>
        </w:tc>
        <w:tc>
          <w:tcPr>
            <w:tcW w:type="dxa" w:w="3680"/>
            <w:shd w:fill="1F29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5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O-D1 — default register for unlisted document classes</w:t>
            </w:r>
          </w:p>
        </w:tc>
        <w:tc>
          <w:tcPr>
            <w:tcW w:type="dxa" w:w="3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R3</w:t>
            </w:r>
          </w:p>
        </w:tc>
      </w:tr>
      <w:tr>
        <w:tc>
          <w:tcPr>
            <w:tcW w:type="dxa" w:w="5680"/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O-D2 — whether live-motion ships at all in v1</w:t>
            </w:r>
          </w:p>
        </w:tc>
        <w:tc>
          <w:tcPr>
            <w:tcW w:type="dxa" w:w="3680"/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Off</w:t>
            </w:r>
          </w:p>
        </w:tc>
      </w:tr>
    </w:tbl>
    <w:p>
      <w:pPr>
        <w:pStyle w:val="Heading2"/>
        <w:spacing w:after="100" w:before="300"/>
      </w:pPr>
      <w:r>
        <w:t xml:space="preserve">Manifest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OWNER-DIRECTED: </w:t>
      </w:r>
      <w:r>
        <w:rPr>
          <w:sz w:val="21"/>
          <w:szCs w:val="21"/>
        </w:rPr>
        <w:t xml:space="preserve">build the rendering engine; clean consistent decks; look-and-feel as competitive feature; the lower-token-charge insight — deterministic rendering so the LLM spends nothing on styling.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ASSISTANT-ADDED, strikeable: </w:t>
      </w:r>
      <w:r>
        <w:rPr>
          <w:sz w:val="21"/>
          <w:szCs w:val="21"/>
        </w:rPr>
        <w:t xml:space="preserve">all-or-nothing rendering (DR-R5) over partial-with-holes; SVG-in-engine over charting libs (DR-R3); PPTX fallback-as-images posture (DR-R9); the advisory-only lint boundary (DR-R7); O-D1/O-D2 defaults.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LOAD-BEARING ASSUMPTIONS: </w:t>
      </w:r>
      <w:r>
        <w:rPr>
          <w:sz w:val="21"/>
          <w:szCs w:val="21"/>
        </w:rPr>
        <w:t xml:space="preserve">(1) receipt resolution is callable from a backend render service; (2) print-pipeline PDF can preserve furniture faithfully; (3) DeckSpec as content-only is sufficient for every slide type in the skill's library.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Akki OS — Deck Rendering Engine v1.0   ·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mbria" w:cs="Cambria" w:eastAsia="Cambria" w:hAnsi="Cambria"/>
      <w:b/>
      <w:bCs/>
      <w:color w:val="1F293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mbria" w:cs="Cambria" w:eastAsia="Cambria" w:hAnsi="Cambria"/>
      <w:b/>
      <w:bCs/>
      <w:color w:val="37474F"/>
      <w:sz w:val="25"/>
      <w:szCs w:val="25"/>
    </w:rPr>
  </w:style>
  <w:style w:type="paragraph" w:styleId="Title">
    <w:name w:val="Title"/>
    <w:basedOn w:val="Normal"/>
    <w:next w:val="Normal"/>
    <w:pPr>
      <w:spacing w:after="80"/>
    </w:pPr>
    <w:rPr>
      <w:rFonts w:ascii="Cambria" w:cs="Cambria" w:eastAsia="Cambria" w:hAnsi="Cambria"/>
      <w:b/>
      <w:bCs/>
      <w:color w:val="1F2933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2026-08-27T04:48:52.563Z</dcterms:created>
  <dcterms:modified xsi:type="dcterms:W3CDTF">2026-08-27T04:48:52.576Z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